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5.xml" ContentType="application/vnd.openxmlformats-officedocument.wordprocessingml.foot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F38744" w14:textId="4E3BE90B" w:rsidR="00F140F5" w:rsidRPr="00F140F5" w:rsidRDefault="00916D59" w:rsidP="00476EE5">
      <w:pPr>
        <w:pStyle w:val="CoverPicturePlaceholder"/>
        <w:ind w:left="-1417"/>
      </w:pPr>
      <w:r>
        <w:rPr>
          <w:noProof/>
        </w:rPr>
        <w:drawing>
          <wp:inline distT="0" distB="0" distL="0" distR="0" wp14:anchorId="6B6835FE" wp14:editId="3936346A">
            <wp:extent cx="7560527" cy="5040074"/>
            <wp:effectExtent l="0" t="0" r="2540" b="8255"/>
            <wp:docPr id="126909842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098421" name="Picture 1269098421"/>
                    <pic:cNvPicPr/>
                  </pic:nvPicPr>
                  <pic:blipFill>
                    <a:blip r:embed="rId11"/>
                    <a:stretch>
                      <a:fillRect/>
                    </a:stretch>
                  </pic:blipFill>
                  <pic:spPr>
                    <a:xfrm>
                      <a:off x="0" y="0"/>
                      <a:ext cx="7566371" cy="5043970"/>
                    </a:xfrm>
                    <a:prstGeom prst="rect">
                      <a:avLst/>
                    </a:prstGeom>
                  </pic:spPr>
                </pic:pic>
              </a:graphicData>
            </a:graphic>
          </wp:inline>
        </w:drawing>
      </w:r>
    </w:p>
    <w:p w14:paraId="178E93D4" w14:textId="2CCB95D0" w:rsidR="00664007" w:rsidRDefault="00664007" w:rsidP="00664007">
      <w:pPr>
        <w:pStyle w:val="CoverTitle"/>
        <w:spacing w:before="840"/>
      </w:pPr>
      <w:r>
        <w:t>Valu</w:t>
      </w:r>
      <w:r w:rsidR="00FD44E6">
        <w:t>ing</w:t>
      </w:r>
      <w:r>
        <w:t xml:space="preserve"> </w:t>
      </w:r>
      <w:r w:rsidR="0034729C">
        <w:t xml:space="preserve">access to </w:t>
      </w:r>
      <w:r w:rsidR="00C71EC4">
        <w:t>work</w:t>
      </w:r>
    </w:p>
    <w:p w14:paraId="53C9F30C" w14:textId="77777777" w:rsidR="00664007" w:rsidRDefault="00664007" w:rsidP="00664007">
      <w:pPr>
        <w:pStyle w:val="CoverSubTitle"/>
      </w:pPr>
      <w:r>
        <w:t>The 2025 update</w:t>
      </w:r>
    </w:p>
    <w:p w14:paraId="01778339" w14:textId="4626ED4A" w:rsidR="006D0BF3" w:rsidRDefault="008A030A" w:rsidP="004D53BA">
      <w:pPr>
        <w:pStyle w:val="CoverSubheading"/>
      </w:pPr>
      <w:r>
        <w:t>NZIER report to</w:t>
      </w:r>
      <w:r w:rsidR="005C7B8B">
        <w:t xml:space="preserve"> </w:t>
      </w:r>
      <w:r w:rsidR="00781C4A" w:rsidRPr="00781C4A">
        <w:t xml:space="preserve">Whaikaha </w:t>
      </w:r>
      <w:r w:rsidR="00BA56E8">
        <w:t>–</w:t>
      </w:r>
      <w:r w:rsidR="00781C4A" w:rsidRPr="00781C4A">
        <w:t xml:space="preserve"> Ministry of Disabled People</w:t>
      </w:r>
    </w:p>
    <w:p w14:paraId="60F1C958" w14:textId="69B21F95" w:rsidR="00F06449" w:rsidRDefault="0024567E" w:rsidP="00F06449">
      <w:pPr>
        <w:pStyle w:val="CoverSubsubheading"/>
      </w:pPr>
      <w:r>
        <w:t xml:space="preserve">February </w:t>
      </w:r>
      <w:r w:rsidR="00545586">
        <w:t>202</w:t>
      </w:r>
      <w:r>
        <w:t>6</w:t>
      </w:r>
    </w:p>
    <w:p w14:paraId="30A7055F" w14:textId="77777777" w:rsidR="00183CB7" w:rsidRDefault="00183CB7" w:rsidP="00451DC4">
      <w:pPr>
        <w:pStyle w:val="USBodyText"/>
      </w:pPr>
    </w:p>
    <w:p w14:paraId="0BCE69B3" w14:textId="67B1F23D" w:rsidR="002F35ED" w:rsidRDefault="002F35ED" w:rsidP="00451DC4">
      <w:pPr>
        <w:pStyle w:val="USBodyText"/>
        <w:sectPr w:rsidR="002F35ED" w:rsidSect="00697268">
          <w:headerReference w:type="even" r:id="rId12"/>
          <w:headerReference w:type="default" r:id="rId13"/>
          <w:footerReference w:type="even" r:id="rId14"/>
          <w:footerReference w:type="default" r:id="rId15"/>
          <w:headerReference w:type="first" r:id="rId16"/>
          <w:pgSz w:w="11907" w:h="16839" w:code="9"/>
          <w:pgMar w:top="3402" w:right="1418" w:bottom="1418" w:left="1418" w:header="851" w:footer="851" w:gutter="0"/>
          <w:pgNumType w:fmt="lowerRoman"/>
          <w:cols w:space="708"/>
          <w:titlePg/>
          <w:docGrid w:linePitch="360"/>
        </w:sectPr>
      </w:pPr>
    </w:p>
    <w:p w14:paraId="08B9A00B" w14:textId="7BCBF01C" w:rsidR="003B713F" w:rsidRDefault="003B713F" w:rsidP="003B713F">
      <w:pPr>
        <w:pStyle w:val="ESHeading1"/>
      </w:pPr>
      <w:r>
        <w:lastRenderedPageBreak/>
        <w:t>About NZIER</w:t>
      </w:r>
    </w:p>
    <w:p w14:paraId="66FEB47B" w14:textId="292180CD" w:rsidR="004F5493" w:rsidRPr="000E029E" w:rsidRDefault="004F5493" w:rsidP="004F5493">
      <w:pPr>
        <w:pStyle w:val="USBodyText"/>
        <w:rPr>
          <w:rFonts w:cs="Calibri"/>
          <w:b/>
          <w:bCs/>
          <w:caps/>
          <w:sz w:val="24"/>
          <w:szCs w:val="24"/>
        </w:rPr>
      </w:pPr>
      <w:r w:rsidRPr="000E029E">
        <w:rPr>
          <w:rStyle w:val="normaltextrun"/>
          <w:rFonts w:cs="Calibri"/>
          <w:sz w:val="24"/>
          <w:szCs w:val="24"/>
          <w:lang w:val="en-US"/>
        </w:rPr>
        <w:t>New Zealand Institute of Economic Research (NZIER) is an independent, not-for-profit economic consultancy that has been informing and encouraging debate on issues affecting Aotearoa New Zealand, for more than 65 years.</w:t>
      </w:r>
      <w:r w:rsidRPr="001734E0">
        <w:rPr>
          <w:rStyle w:val="eop"/>
          <w:rFonts w:cs="Calibri"/>
          <w:b/>
          <w:bCs/>
          <w:caps/>
          <w:sz w:val="24"/>
          <w:szCs w:val="24"/>
        </w:rPr>
        <w:t> </w:t>
      </w:r>
    </w:p>
    <w:p w14:paraId="545EC626" w14:textId="4F060525" w:rsidR="004F5493" w:rsidRPr="000E029E" w:rsidRDefault="004F5493" w:rsidP="004F5493">
      <w:pPr>
        <w:pStyle w:val="USBodyText"/>
        <w:rPr>
          <w:rFonts w:cs="Calibri"/>
          <w:sz w:val="24"/>
          <w:szCs w:val="24"/>
        </w:rPr>
      </w:pPr>
      <w:r w:rsidRPr="000E029E">
        <w:rPr>
          <w:rStyle w:val="normaltextrun"/>
          <w:rFonts w:cs="Calibri"/>
          <w:sz w:val="24"/>
          <w:szCs w:val="24"/>
          <w:lang w:val="en-US"/>
        </w:rPr>
        <w:t xml:space="preserve">Our core values of independence and promoting better outcomes for all New Zealanders are the driving force behind why we exist and how we work today. </w:t>
      </w:r>
      <w:r w:rsidR="00010134" w:rsidRPr="000E029E">
        <w:rPr>
          <w:rStyle w:val="normaltextrun"/>
          <w:rFonts w:cs="Calibri"/>
          <w:sz w:val="24"/>
          <w:szCs w:val="24"/>
          <w:lang w:val="en-US"/>
        </w:rPr>
        <w:t>We aim to help our clients and members make better business and policy decisions and</w:t>
      </w:r>
      <w:r w:rsidRPr="000E029E">
        <w:rPr>
          <w:rStyle w:val="normaltextrun"/>
          <w:rFonts w:cs="Calibri"/>
          <w:sz w:val="24"/>
          <w:szCs w:val="24"/>
          <w:lang w:val="en-US"/>
        </w:rPr>
        <w:t xml:space="preserve"> provide valuable insights and leadership on important public issues affecting our future.</w:t>
      </w:r>
    </w:p>
    <w:p w14:paraId="52E4761F" w14:textId="107F05FB" w:rsidR="004F5493" w:rsidRPr="000E029E" w:rsidRDefault="004F5493" w:rsidP="004F5493">
      <w:pPr>
        <w:pStyle w:val="USBodyText"/>
        <w:rPr>
          <w:rFonts w:cs="Calibri"/>
          <w:sz w:val="24"/>
          <w:szCs w:val="24"/>
        </w:rPr>
      </w:pPr>
      <w:r w:rsidRPr="000E029E">
        <w:rPr>
          <w:rStyle w:val="normaltextrun"/>
          <w:rFonts w:cs="Calibri"/>
          <w:sz w:val="24"/>
          <w:szCs w:val="24"/>
          <w:lang w:val="en-US"/>
        </w:rPr>
        <w:t>We are unique in that we reinvest our returns into public good research for the betterment of Aotearoa New Zealand.</w:t>
      </w:r>
      <w:r w:rsidRPr="001734E0">
        <w:rPr>
          <w:rStyle w:val="eop"/>
          <w:rFonts w:cs="Calibri"/>
          <w:sz w:val="24"/>
          <w:szCs w:val="24"/>
        </w:rPr>
        <w:t> </w:t>
      </w:r>
    </w:p>
    <w:p w14:paraId="219466B2" w14:textId="1B0A1891" w:rsidR="004F5493" w:rsidRPr="000E029E" w:rsidRDefault="004F5493" w:rsidP="004F5493">
      <w:pPr>
        <w:pStyle w:val="USBodyText"/>
        <w:rPr>
          <w:rFonts w:cs="Calibri"/>
          <w:sz w:val="24"/>
          <w:szCs w:val="24"/>
        </w:rPr>
      </w:pPr>
      <w:r w:rsidRPr="000E029E">
        <w:rPr>
          <w:rStyle w:val="normaltextrun"/>
          <w:rFonts w:cs="Calibri"/>
          <w:sz w:val="24"/>
          <w:szCs w:val="24"/>
          <w:lang w:val="en-US"/>
        </w:rPr>
        <w:t xml:space="preserve">Our expert team </w:t>
      </w:r>
      <w:r w:rsidR="003E4594" w:rsidRPr="000E029E">
        <w:rPr>
          <w:rStyle w:val="normaltextrun"/>
          <w:rFonts w:cs="Calibri"/>
          <w:sz w:val="24"/>
          <w:szCs w:val="24"/>
          <w:lang w:val="en-US"/>
        </w:rPr>
        <w:t>is based in Auckland and Wellington and operates across all</w:t>
      </w:r>
      <w:r w:rsidR="003975E2" w:rsidRPr="000E029E">
        <w:rPr>
          <w:rStyle w:val="normaltextrun"/>
          <w:rFonts w:cs="Calibri"/>
          <w:sz w:val="24"/>
          <w:szCs w:val="24"/>
          <w:lang w:val="en-US"/>
        </w:rPr>
        <w:t xml:space="preserve"> sectors </w:t>
      </w:r>
      <w:r w:rsidR="00144D1E" w:rsidRPr="000E029E">
        <w:rPr>
          <w:rStyle w:val="normaltextrun"/>
          <w:rFonts w:cs="Calibri"/>
          <w:sz w:val="24"/>
          <w:szCs w:val="24"/>
          <w:lang w:val="en-US"/>
        </w:rPr>
        <w:t>of</w:t>
      </w:r>
      <w:r w:rsidR="003975E2" w:rsidRPr="000E029E">
        <w:rPr>
          <w:rStyle w:val="normaltextrun"/>
          <w:rFonts w:cs="Calibri"/>
          <w:sz w:val="24"/>
          <w:szCs w:val="24"/>
          <w:lang w:val="en-US"/>
        </w:rPr>
        <w:t xml:space="preserve"> the</w:t>
      </w:r>
      <w:r w:rsidR="003E4594" w:rsidRPr="000E029E">
        <w:rPr>
          <w:rStyle w:val="normaltextrun"/>
          <w:rFonts w:cs="Calibri"/>
          <w:sz w:val="24"/>
          <w:szCs w:val="24"/>
          <w:lang w:val="en-US"/>
        </w:rPr>
        <w:t xml:space="preserve"> New Zealand economy</w:t>
      </w:r>
      <w:r w:rsidR="0060022F" w:rsidRPr="000E029E">
        <w:rPr>
          <w:rStyle w:val="normaltextrun"/>
          <w:rFonts w:cs="Calibri"/>
          <w:sz w:val="24"/>
          <w:szCs w:val="24"/>
          <w:lang w:val="en-US"/>
        </w:rPr>
        <w:t>. They</w:t>
      </w:r>
      <w:r w:rsidRPr="000E029E">
        <w:rPr>
          <w:rStyle w:val="normaltextrun"/>
          <w:rFonts w:cs="Calibri"/>
          <w:sz w:val="24"/>
          <w:szCs w:val="24"/>
          <w:lang w:val="en-US"/>
        </w:rPr>
        <w:t xml:space="preserve"> combine their sector knowledge with the application of robust economic logic, models and data and understanding of the linkages between government and business to help our clients and tackle complex issues.</w:t>
      </w:r>
    </w:p>
    <w:p w14:paraId="58C27AE5" w14:textId="77777777" w:rsidR="003B713F" w:rsidRDefault="003B713F" w:rsidP="003B713F">
      <w:pPr>
        <w:pStyle w:val="ESHeading1"/>
      </w:pPr>
      <w:r>
        <w:t>Authorship</w:t>
      </w:r>
    </w:p>
    <w:p w14:paraId="46C68889" w14:textId="6D6BCA73" w:rsidR="003B713F" w:rsidRPr="000E029E" w:rsidRDefault="003B713F" w:rsidP="003B713F">
      <w:pPr>
        <w:pStyle w:val="USBodyText"/>
        <w:rPr>
          <w:sz w:val="24"/>
          <w:szCs w:val="24"/>
        </w:rPr>
      </w:pPr>
      <w:r w:rsidRPr="000E029E">
        <w:rPr>
          <w:sz w:val="24"/>
          <w:szCs w:val="24"/>
        </w:rPr>
        <w:t xml:space="preserve">This paper was prepared </w:t>
      </w:r>
      <w:r w:rsidR="008A030A" w:rsidRPr="000E029E">
        <w:rPr>
          <w:sz w:val="24"/>
          <w:szCs w:val="24"/>
        </w:rPr>
        <w:t xml:space="preserve">at NZIER by </w:t>
      </w:r>
      <w:r w:rsidR="00545586" w:rsidRPr="000E029E">
        <w:rPr>
          <w:sz w:val="24"/>
          <w:szCs w:val="24"/>
        </w:rPr>
        <w:t>Michael Bealing and Dan</w:t>
      </w:r>
      <w:r w:rsidR="007206FF" w:rsidRPr="000E029E">
        <w:rPr>
          <w:sz w:val="24"/>
          <w:szCs w:val="24"/>
        </w:rPr>
        <w:t>iel Hami</w:t>
      </w:r>
      <w:r w:rsidR="003A2D1A" w:rsidRPr="000E029E">
        <w:rPr>
          <w:sz w:val="24"/>
          <w:szCs w:val="24"/>
        </w:rPr>
        <w:t>l</w:t>
      </w:r>
      <w:r w:rsidR="007206FF" w:rsidRPr="000E029E">
        <w:rPr>
          <w:sz w:val="24"/>
          <w:szCs w:val="24"/>
        </w:rPr>
        <w:t>l</w:t>
      </w:r>
      <w:r w:rsidRPr="000E029E">
        <w:rPr>
          <w:sz w:val="24"/>
          <w:szCs w:val="24"/>
        </w:rPr>
        <w:t>.</w:t>
      </w:r>
    </w:p>
    <w:p w14:paraId="653CC218" w14:textId="62431D2A" w:rsidR="00487E49" w:rsidRPr="000E029E" w:rsidRDefault="00124446" w:rsidP="003B713F">
      <w:pPr>
        <w:pStyle w:val="USBodyText"/>
        <w:rPr>
          <w:sz w:val="24"/>
          <w:szCs w:val="24"/>
        </w:rPr>
      </w:pPr>
      <w:r w:rsidRPr="000E029E">
        <w:rPr>
          <w:sz w:val="24"/>
          <w:szCs w:val="24"/>
        </w:rPr>
        <w:t>It was quality approved by Todd Krieble</w:t>
      </w:r>
      <w:r w:rsidR="00E51D65" w:rsidRPr="000E029E">
        <w:rPr>
          <w:sz w:val="24"/>
          <w:szCs w:val="24"/>
        </w:rPr>
        <w:t>.</w:t>
      </w:r>
    </w:p>
    <w:p w14:paraId="4970C1E4" w14:textId="286C7E79" w:rsidR="006C7213" w:rsidRPr="000E029E" w:rsidRDefault="003B713F" w:rsidP="003B713F">
      <w:pPr>
        <w:pStyle w:val="USBodyText"/>
        <w:rPr>
          <w:sz w:val="24"/>
          <w:szCs w:val="24"/>
        </w:rPr>
      </w:pPr>
      <w:r w:rsidRPr="000E029E">
        <w:rPr>
          <w:sz w:val="24"/>
          <w:szCs w:val="24"/>
        </w:rPr>
        <w:t xml:space="preserve">The assistance of </w:t>
      </w:r>
      <w:r w:rsidR="007206FF" w:rsidRPr="000E029E">
        <w:rPr>
          <w:sz w:val="24"/>
          <w:szCs w:val="24"/>
        </w:rPr>
        <w:t>Sarah Spring</w:t>
      </w:r>
      <w:r w:rsidR="003F1668" w:rsidRPr="000E029E">
        <w:rPr>
          <w:sz w:val="24"/>
          <w:szCs w:val="24"/>
        </w:rPr>
        <w:t xml:space="preserve"> </w:t>
      </w:r>
      <w:r w:rsidR="008A030A" w:rsidRPr="000E029E">
        <w:rPr>
          <w:sz w:val="24"/>
          <w:szCs w:val="24"/>
        </w:rPr>
        <w:t>is gratefully acknowledged</w:t>
      </w:r>
      <w:r w:rsidRPr="000E029E">
        <w:rPr>
          <w:sz w:val="24"/>
          <w:szCs w:val="24"/>
        </w:rPr>
        <w:t xml:space="preserve">. </w:t>
      </w:r>
    </w:p>
    <w:p w14:paraId="27E2C206" w14:textId="01E18E92" w:rsidR="004D53BA" w:rsidRDefault="004D53BA" w:rsidP="00F44449">
      <w:pPr>
        <w:pStyle w:val="USBodyText"/>
      </w:pPr>
    </w:p>
    <w:p w14:paraId="6A4816C9" w14:textId="77777777" w:rsidR="000B3F67" w:rsidRDefault="000B3F67" w:rsidP="00156445">
      <w:pPr>
        <w:pStyle w:val="USBodyText"/>
      </w:pPr>
    </w:p>
    <w:p w14:paraId="7259A618" w14:textId="77777777" w:rsidR="000B3F67" w:rsidRDefault="000B3F67" w:rsidP="00156445">
      <w:pPr>
        <w:pStyle w:val="USBodyText"/>
      </w:pPr>
    </w:p>
    <w:p w14:paraId="7CFE6288" w14:textId="7445ED49" w:rsidR="00156445" w:rsidRPr="000E029E" w:rsidRDefault="00156445" w:rsidP="00156445">
      <w:pPr>
        <w:pStyle w:val="USBodyText"/>
        <w:rPr>
          <w:sz w:val="24"/>
          <w:szCs w:val="24"/>
        </w:rPr>
      </w:pPr>
      <w:r w:rsidRPr="000E029E">
        <w:rPr>
          <w:sz w:val="24"/>
          <w:szCs w:val="24"/>
        </w:rPr>
        <w:t>How to cite this document:</w:t>
      </w:r>
    </w:p>
    <w:p w14:paraId="794C17A8" w14:textId="1F590825" w:rsidR="00C80F57" w:rsidRPr="000E029E" w:rsidRDefault="00C80F57" w:rsidP="00C80F57">
      <w:pPr>
        <w:pStyle w:val="USBodyText"/>
        <w:rPr>
          <w:sz w:val="24"/>
          <w:szCs w:val="24"/>
        </w:rPr>
      </w:pPr>
      <w:r w:rsidRPr="000E029E">
        <w:rPr>
          <w:sz w:val="24"/>
          <w:szCs w:val="24"/>
        </w:rPr>
        <w:t>NZIER. 2025. Valu</w:t>
      </w:r>
      <w:r w:rsidR="00A77747">
        <w:rPr>
          <w:sz w:val="24"/>
          <w:szCs w:val="24"/>
        </w:rPr>
        <w:t>ing</w:t>
      </w:r>
      <w:r w:rsidRPr="000E029E">
        <w:rPr>
          <w:sz w:val="24"/>
          <w:szCs w:val="24"/>
        </w:rPr>
        <w:t xml:space="preserve"> access to work: The 2025 update. A report for Whaikaha </w:t>
      </w:r>
      <w:r w:rsidR="00E21BF6" w:rsidRPr="000E029E">
        <w:rPr>
          <w:sz w:val="24"/>
          <w:szCs w:val="24"/>
        </w:rPr>
        <w:t>–</w:t>
      </w:r>
      <w:r w:rsidRPr="000E029E">
        <w:rPr>
          <w:sz w:val="24"/>
          <w:szCs w:val="24"/>
        </w:rPr>
        <w:t xml:space="preserve"> Ministry of Disabled People.</w:t>
      </w:r>
    </w:p>
    <w:p w14:paraId="5D4A699E" w14:textId="77777777" w:rsidR="00C80F57" w:rsidRPr="00F44449" w:rsidRDefault="00C80F57" w:rsidP="00F44449">
      <w:pPr>
        <w:pStyle w:val="USBodyText"/>
        <w:sectPr w:rsidR="00C80F57" w:rsidRPr="00F44449" w:rsidSect="00697268">
          <w:headerReference w:type="even" r:id="rId17"/>
          <w:headerReference w:type="default" r:id="rId18"/>
          <w:footerReference w:type="default" r:id="rId19"/>
          <w:headerReference w:type="first" r:id="rId20"/>
          <w:type w:val="oddPage"/>
          <w:pgSz w:w="11907" w:h="16839" w:code="9"/>
          <w:pgMar w:top="1701" w:right="1418" w:bottom="1418" w:left="1418" w:header="851" w:footer="851" w:gutter="0"/>
          <w:pgNumType w:fmt="lowerRoman"/>
          <w:cols w:space="708"/>
          <w:docGrid w:linePitch="360"/>
        </w:sectPr>
      </w:pPr>
    </w:p>
    <w:p w14:paraId="0AC2C6C4" w14:textId="77777777" w:rsidR="00BE14CF" w:rsidRDefault="00BE14CF" w:rsidP="00BE14CF">
      <w:pPr>
        <w:pStyle w:val="ESHeading1"/>
      </w:pPr>
      <w:r>
        <w:lastRenderedPageBreak/>
        <w:t>Key points</w:t>
      </w:r>
    </w:p>
    <w:p w14:paraId="7496BBE7" w14:textId="77777777" w:rsidR="00495850" w:rsidRDefault="00495850" w:rsidP="000D2834">
      <w:pPr>
        <w:pStyle w:val="ESHeading2"/>
      </w:pPr>
      <w:r>
        <w:t>This report e</w:t>
      </w:r>
      <w:r w:rsidR="005F4EF8" w:rsidRPr="005F4EF8">
        <w:t>xamines the potential macroeconomic benefits of improving employment and educational outcomes for disabled people in New Zealand</w:t>
      </w:r>
      <w:r>
        <w:t xml:space="preserve"> </w:t>
      </w:r>
    </w:p>
    <w:p w14:paraId="7F9AD91F" w14:textId="0E1D4DC3" w:rsidR="00995E7B" w:rsidRPr="00C61990" w:rsidRDefault="004A5A57" w:rsidP="004A5A57">
      <w:pPr>
        <w:pStyle w:val="USBodyText"/>
        <w:rPr>
          <w:sz w:val="24"/>
          <w:szCs w:val="24"/>
        </w:rPr>
      </w:pPr>
      <w:r w:rsidRPr="00C61990">
        <w:rPr>
          <w:sz w:val="24"/>
          <w:szCs w:val="24"/>
        </w:rPr>
        <w:t>The NZIER research, commissioned by Whaikaha – the Ministry of Disabled People, examines the potential macroeconomic benefits of improving employment and educational outcomes for</w:t>
      </w:r>
      <w:r w:rsidR="001525A3" w:rsidRPr="00C61990">
        <w:rPr>
          <w:sz w:val="24"/>
          <w:szCs w:val="24"/>
        </w:rPr>
        <w:t xml:space="preserve"> employed</w:t>
      </w:r>
      <w:r w:rsidRPr="00C61990">
        <w:rPr>
          <w:sz w:val="24"/>
          <w:szCs w:val="24"/>
        </w:rPr>
        <w:t xml:space="preserve"> </w:t>
      </w:r>
      <w:r w:rsidR="00A844DC" w:rsidRPr="00C61990">
        <w:rPr>
          <w:sz w:val="24"/>
          <w:szCs w:val="24"/>
        </w:rPr>
        <w:t xml:space="preserve">disabled </w:t>
      </w:r>
      <w:r w:rsidRPr="00C61990">
        <w:rPr>
          <w:sz w:val="24"/>
          <w:szCs w:val="24"/>
        </w:rPr>
        <w:t xml:space="preserve">people in New Zealand. The study models two key scenarios to quantify the wider economic and social benefits of increasing labour force participation and productivity among </w:t>
      </w:r>
      <w:r w:rsidR="001525A3" w:rsidRPr="00C61990">
        <w:rPr>
          <w:sz w:val="24"/>
          <w:szCs w:val="24"/>
        </w:rPr>
        <w:t xml:space="preserve">employed </w:t>
      </w:r>
      <w:r w:rsidR="00B20459" w:rsidRPr="00C61990">
        <w:rPr>
          <w:sz w:val="24"/>
          <w:szCs w:val="24"/>
        </w:rPr>
        <w:t>disabled people</w:t>
      </w:r>
      <w:r w:rsidRPr="00C61990">
        <w:rPr>
          <w:sz w:val="24"/>
          <w:szCs w:val="24"/>
        </w:rPr>
        <w:t>.</w:t>
      </w:r>
      <w:r w:rsidR="00124A90" w:rsidRPr="00C61990">
        <w:rPr>
          <w:sz w:val="24"/>
          <w:szCs w:val="24"/>
        </w:rPr>
        <w:t xml:space="preserve"> </w:t>
      </w:r>
    </w:p>
    <w:p w14:paraId="7083EE86" w14:textId="0FEF566F" w:rsidR="001F13A7" w:rsidRPr="00C61990" w:rsidRDefault="00995E7B" w:rsidP="004A5A57">
      <w:pPr>
        <w:pStyle w:val="USBodyText"/>
        <w:rPr>
          <w:sz w:val="24"/>
          <w:szCs w:val="24"/>
        </w:rPr>
      </w:pPr>
      <w:r w:rsidRPr="00C61990">
        <w:rPr>
          <w:sz w:val="24"/>
          <w:szCs w:val="24"/>
        </w:rPr>
        <w:t>T</w:t>
      </w:r>
      <w:r w:rsidR="000276F6" w:rsidRPr="00C61990">
        <w:rPr>
          <w:sz w:val="24"/>
          <w:szCs w:val="24"/>
        </w:rPr>
        <w:t xml:space="preserve">he research questions were: </w:t>
      </w:r>
    </w:p>
    <w:p w14:paraId="506D0E81" w14:textId="7119F927" w:rsidR="0009504B" w:rsidRPr="00C61990" w:rsidRDefault="00760FE4">
      <w:pPr>
        <w:pStyle w:val="USBullet1"/>
        <w:rPr>
          <w:sz w:val="24"/>
          <w:szCs w:val="24"/>
        </w:rPr>
      </w:pPr>
      <w:r w:rsidRPr="00C61990">
        <w:rPr>
          <w:sz w:val="24"/>
          <w:szCs w:val="24"/>
        </w:rPr>
        <w:t xml:space="preserve">What is the </w:t>
      </w:r>
      <w:r w:rsidR="0061382B" w:rsidRPr="00C61990">
        <w:rPr>
          <w:sz w:val="24"/>
          <w:szCs w:val="24"/>
        </w:rPr>
        <w:t xml:space="preserve">gross domestic product (GDP) </w:t>
      </w:r>
      <w:r w:rsidRPr="00C61990">
        <w:rPr>
          <w:sz w:val="24"/>
          <w:szCs w:val="24"/>
        </w:rPr>
        <w:t xml:space="preserve">impact of </w:t>
      </w:r>
      <w:r w:rsidR="0032663D" w:rsidRPr="00C61990">
        <w:rPr>
          <w:sz w:val="24"/>
          <w:szCs w:val="24"/>
        </w:rPr>
        <w:t xml:space="preserve">equalising </w:t>
      </w:r>
      <w:r w:rsidR="006F2415" w:rsidRPr="00C61990">
        <w:rPr>
          <w:sz w:val="24"/>
          <w:szCs w:val="24"/>
        </w:rPr>
        <w:t>unemployment among</w:t>
      </w:r>
      <w:r w:rsidR="00231605" w:rsidRPr="00C61990">
        <w:rPr>
          <w:sz w:val="24"/>
          <w:szCs w:val="24"/>
        </w:rPr>
        <w:t xml:space="preserve"> disabled people to</w:t>
      </w:r>
      <w:r w:rsidR="00FA17B8" w:rsidRPr="00C61990">
        <w:rPr>
          <w:sz w:val="24"/>
          <w:szCs w:val="24"/>
        </w:rPr>
        <w:t xml:space="preserve"> th</w:t>
      </w:r>
      <w:r w:rsidR="0061382B" w:rsidRPr="00C61990">
        <w:rPr>
          <w:sz w:val="24"/>
          <w:szCs w:val="24"/>
        </w:rPr>
        <w:t>a</w:t>
      </w:r>
      <w:r w:rsidR="00FA17B8" w:rsidRPr="00C61990">
        <w:rPr>
          <w:sz w:val="24"/>
          <w:szCs w:val="24"/>
        </w:rPr>
        <w:t>t among non-disabl</w:t>
      </w:r>
      <w:r w:rsidR="002928F4" w:rsidRPr="00C61990">
        <w:rPr>
          <w:sz w:val="24"/>
          <w:szCs w:val="24"/>
        </w:rPr>
        <w:t>ed people?</w:t>
      </w:r>
      <w:r w:rsidR="0009504B" w:rsidRPr="00C61990">
        <w:rPr>
          <w:sz w:val="24"/>
          <w:szCs w:val="24"/>
        </w:rPr>
        <w:t xml:space="preserve"> </w:t>
      </w:r>
    </w:p>
    <w:p w14:paraId="50E50433" w14:textId="660B8694" w:rsidR="004A5A57" w:rsidRPr="00C61990" w:rsidRDefault="00ED612D" w:rsidP="000D2834">
      <w:pPr>
        <w:pStyle w:val="USBullet1"/>
        <w:rPr>
          <w:sz w:val="24"/>
          <w:szCs w:val="24"/>
        </w:rPr>
      </w:pPr>
      <w:r w:rsidRPr="00C61990">
        <w:rPr>
          <w:sz w:val="24"/>
          <w:szCs w:val="24"/>
        </w:rPr>
        <w:t>What is the GDP impact o</w:t>
      </w:r>
      <w:r w:rsidR="005B375D" w:rsidRPr="00C61990">
        <w:rPr>
          <w:sz w:val="24"/>
          <w:szCs w:val="24"/>
        </w:rPr>
        <w:t xml:space="preserve">f </w:t>
      </w:r>
      <w:r w:rsidR="004E5538" w:rsidRPr="00C61990">
        <w:rPr>
          <w:sz w:val="24"/>
          <w:szCs w:val="24"/>
        </w:rPr>
        <w:t xml:space="preserve">lifting </w:t>
      </w:r>
      <w:r w:rsidR="005B375D" w:rsidRPr="00C61990">
        <w:rPr>
          <w:sz w:val="24"/>
          <w:szCs w:val="24"/>
        </w:rPr>
        <w:t xml:space="preserve">educational outcomes </w:t>
      </w:r>
      <w:r w:rsidR="00C23D0F" w:rsidRPr="00C61990">
        <w:rPr>
          <w:sz w:val="24"/>
          <w:szCs w:val="24"/>
        </w:rPr>
        <w:t xml:space="preserve">among </w:t>
      </w:r>
      <w:r w:rsidR="001525A3" w:rsidRPr="00C61990">
        <w:rPr>
          <w:sz w:val="24"/>
          <w:szCs w:val="24"/>
        </w:rPr>
        <w:t xml:space="preserve">employed </w:t>
      </w:r>
      <w:r w:rsidR="00C23D0F" w:rsidRPr="00C61990">
        <w:rPr>
          <w:sz w:val="24"/>
          <w:szCs w:val="24"/>
        </w:rPr>
        <w:t>disabled people</w:t>
      </w:r>
      <w:r w:rsidR="00176550" w:rsidRPr="00C61990">
        <w:rPr>
          <w:sz w:val="24"/>
          <w:szCs w:val="24"/>
        </w:rPr>
        <w:t>?</w:t>
      </w:r>
    </w:p>
    <w:p w14:paraId="5B4FBC82" w14:textId="51600BC9" w:rsidR="00461C33" w:rsidRPr="004567D0" w:rsidRDefault="00461C33" w:rsidP="003160B8">
      <w:pPr>
        <w:pStyle w:val="ESHeading2"/>
      </w:pPr>
      <w:r w:rsidRPr="004567D0">
        <w:t>The 202</w:t>
      </w:r>
      <w:r w:rsidR="004567D0">
        <w:t>5</w:t>
      </w:r>
      <w:r w:rsidRPr="004567D0">
        <w:t xml:space="preserve"> Household Labour Force Survey reveals stark disparities in employment outcomes between disabled people and </w:t>
      </w:r>
      <w:r w:rsidR="008677A5" w:rsidRPr="004567D0">
        <w:t>non-disabled people</w:t>
      </w:r>
    </w:p>
    <w:p w14:paraId="5E9447D9" w14:textId="090B0E71" w:rsidR="00A844DC" w:rsidRPr="00D20EE1" w:rsidRDefault="00A844DC" w:rsidP="003160B8">
      <w:pPr>
        <w:pStyle w:val="USBullet1"/>
        <w:rPr>
          <w:sz w:val="24"/>
          <w:szCs w:val="24"/>
        </w:rPr>
      </w:pPr>
      <w:r w:rsidRPr="00D20EE1">
        <w:rPr>
          <w:sz w:val="24"/>
          <w:szCs w:val="24"/>
        </w:rPr>
        <w:t xml:space="preserve">Disabled people have significantly lower labour force participation and employment rates than non-disabled people, with participation at </w:t>
      </w:r>
      <w:r w:rsidR="005470F2" w:rsidRPr="00D20EE1">
        <w:rPr>
          <w:sz w:val="24"/>
          <w:szCs w:val="24"/>
        </w:rPr>
        <w:t>26.8</w:t>
      </w:r>
      <w:r w:rsidR="00785D56" w:rsidRPr="00D20EE1">
        <w:rPr>
          <w:sz w:val="24"/>
          <w:szCs w:val="24"/>
        </w:rPr>
        <w:t xml:space="preserve"> percent </w:t>
      </w:r>
      <w:r w:rsidRPr="00D20EE1">
        <w:rPr>
          <w:sz w:val="24"/>
          <w:szCs w:val="24"/>
        </w:rPr>
        <w:t xml:space="preserve">versus </w:t>
      </w:r>
      <w:r w:rsidR="005470F2" w:rsidRPr="00D20EE1">
        <w:rPr>
          <w:sz w:val="24"/>
          <w:szCs w:val="24"/>
        </w:rPr>
        <w:t>72.9</w:t>
      </w:r>
      <w:r w:rsidR="00785D56" w:rsidRPr="00D20EE1">
        <w:rPr>
          <w:sz w:val="24"/>
          <w:szCs w:val="24"/>
        </w:rPr>
        <w:t xml:space="preserve"> percent, </w:t>
      </w:r>
      <w:r w:rsidRPr="00D20EE1">
        <w:rPr>
          <w:sz w:val="24"/>
          <w:szCs w:val="24"/>
        </w:rPr>
        <w:t xml:space="preserve">and employment at </w:t>
      </w:r>
      <w:r w:rsidR="005470F2" w:rsidRPr="00D20EE1">
        <w:rPr>
          <w:sz w:val="24"/>
          <w:szCs w:val="24"/>
        </w:rPr>
        <w:t>23.4</w:t>
      </w:r>
      <w:r w:rsidR="00785D56" w:rsidRPr="00D20EE1">
        <w:rPr>
          <w:sz w:val="24"/>
          <w:szCs w:val="24"/>
        </w:rPr>
        <w:t xml:space="preserve"> percent </w:t>
      </w:r>
      <w:r w:rsidRPr="00D20EE1">
        <w:rPr>
          <w:sz w:val="24"/>
          <w:szCs w:val="24"/>
        </w:rPr>
        <w:t xml:space="preserve">versus </w:t>
      </w:r>
      <w:r w:rsidR="00B8488E" w:rsidRPr="00D20EE1">
        <w:rPr>
          <w:sz w:val="24"/>
          <w:szCs w:val="24"/>
        </w:rPr>
        <w:t>69.3</w:t>
      </w:r>
      <w:r w:rsidR="00785D56" w:rsidRPr="00D20EE1">
        <w:rPr>
          <w:sz w:val="24"/>
          <w:szCs w:val="24"/>
        </w:rPr>
        <w:t xml:space="preserve"> percent.</w:t>
      </w:r>
    </w:p>
    <w:p w14:paraId="6D635B03" w14:textId="14017956" w:rsidR="00A844DC" w:rsidRPr="004567D0" w:rsidRDefault="00A844DC" w:rsidP="003160B8">
      <w:pPr>
        <w:pStyle w:val="USBullet1"/>
      </w:pPr>
      <w:r w:rsidRPr="00D20EE1">
        <w:rPr>
          <w:sz w:val="24"/>
          <w:szCs w:val="24"/>
        </w:rPr>
        <w:t>The unemployment rate for disabled people is more than twice that of non-disabled people (</w:t>
      </w:r>
      <w:r w:rsidR="00B8488E" w:rsidRPr="00D20EE1">
        <w:rPr>
          <w:sz w:val="24"/>
          <w:szCs w:val="24"/>
        </w:rPr>
        <w:t>12.6</w:t>
      </w:r>
      <w:r w:rsidR="00785D56" w:rsidRPr="00D20EE1">
        <w:rPr>
          <w:sz w:val="24"/>
          <w:szCs w:val="24"/>
        </w:rPr>
        <w:t xml:space="preserve"> percent </w:t>
      </w:r>
      <w:r w:rsidRPr="00D20EE1">
        <w:rPr>
          <w:sz w:val="24"/>
          <w:szCs w:val="24"/>
        </w:rPr>
        <w:t>v</w:t>
      </w:r>
      <w:r w:rsidR="00785D56" w:rsidRPr="00D20EE1">
        <w:rPr>
          <w:sz w:val="24"/>
          <w:szCs w:val="24"/>
        </w:rPr>
        <w:t>ersus</w:t>
      </w:r>
      <w:r w:rsidRPr="00D20EE1">
        <w:rPr>
          <w:sz w:val="24"/>
          <w:szCs w:val="24"/>
        </w:rPr>
        <w:t xml:space="preserve"> </w:t>
      </w:r>
      <w:r w:rsidR="00B8488E" w:rsidRPr="00D20EE1">
        <w:rPr>
          <w:sz w:val="24"/>
          <w:szCs w:val="24"/>
        </w:rPr>
        <w:t>4.9</w:t>
      </w:r>
      <w:r w:rsidR="00785D56" w:rsidRPr="00D20EE1">
        <w:rPr>
          <w:sz w:val="24"/>
          <w:szCs w:val="24"/>
        </w:rPr>
        <w:t xml:space="preserve"> percent),</w:t>
      </w:r>
      <w:r w:rsidRPr="00D20EE1">
        <w:rPr>
          <w:sz w:val="24"/>
          <w:szCs w:val="24"/>
        </w:rPr>
        <w:t xml:space="preserve"> indicating substantial challenges in securing employment even when actively seeking work</w:t>
      </w:r>
      <w:r w:rsidRPr="004567D0">
        <w:t>.</w:t>
      </w:r>
    </w:p>
    <w:p w14:paraId="64499F98" w14:textId="51F8863B" w:rsidR="008C002B" w:rsidRPr="004567D0" w:rsidRDefault="0062164E" w:rsidP="008C002B">
      <w:pPr>
        <w:pStyle w:val="ESHeading2"/>
      </w:pPr>
      <w:r w:rsidRPr="004567D0">
        <w:t>Closing this employment gap would contribute an estimated $</w:t>
      </w:r>
      <w:r w:rsidR="004567D0" w:rsidRPr="004567D0">
        <w:t xml:space="preserve">578 </w:t>
      </w:r>
      <w:r w:rsidRPr="004567D0">
        <w:t>million increase in GDP in 202</w:t>
      </w:r>
      <w:r w:rsidR="004567D0" w:rsidRPr="004567D0">
        <w:t>5</w:t>
      </w:r>
    </w:p>
    <w:p w14:paraId="7CDF0266" w14:textId="4BE3BD2B" w:rsidR="004A5A57" w:rsidRPr="00D20EE1" w:rsidRDefault="004A5A57" w:rsidP="004A5A57">
      <w:pPr>
        <w:pStyle w:val="USBodyText"/>
        <w:rPr>
          <w:sz w:val="24"/>
          <w:szCs w:val="24"/>
        </w:rPr>
      </w:pPr>
      <w:r w:rsidRPr="00D20EE1">
        <w:rPr>
          <w:sz w:val="24"/>
          <w:szCs w:val="24"/>
        </w:rPr>
        <w:t xml:space="preserve">The model predicts that closing this employment gap </w:t>
      </w:r>
      <w:r w:rsidR="007A6E04" w:rsidRPr="00D20EE1">
        <w:rPr>
          <w:sz w:val="24"/>
          <w:szCs w:val="24"/>
        </w:rPr>
        <w:t>would contribute</w:t>
      </w:r>
      <w:r w:rsidRPr="00D20EE1">
        <w:rPr>
          <w:sz w:val="24"/>
          <w:szCs w:val="24"/>
        </w:rPr>
        <w:t xml:space="preserve"> an estimated </w:t>
      </w:r>
      <w:r w:rsidRPr="00D20EE1">
        <w:rPr>
          <w:b/>
          <w:bCs/>
          <w:sz w:val="24"/>
          <w:szCs w:val="24"/>
        </w:rPr>
        <w:t>$</w:t>
      </w:r>
      <w:r w:rsidR="004567D0" w:rsidRPr="00D20EE1">
        <w:rPr>
          <w:b/>
          <w:bCs/>
          <w:sz w:val="24"/>
          <w:szCs w:val="24"/>
        </w:rPr>
        <w:t xml:space="preserve">578 </w:t>
      </w:r>
      <w:r w:rsidRPr="00D20EE1">
        <w:rPr>
          <w:b/>
          <w:bCs/>
          <w:sz w:val="24"/>
          <w:szCs w:val="24"/>
        </w:rPr>
        <w:t>million increase in GDP in 202</w:t>
      </w:r>
      <w:r w:rsidR="004567D0" w:rsidRPr="00D20EE1">
        <w:rPr>
          <w:b/>
          <w:bCs/>
          <w:sz w:val="24"/>
          <w:szCs w:val="24"/>
        </w:rPr>
        <w:t>5</w:t>
      </w:r>
      <w:r w:rsidRPr="00D20EE1">
        <w:rPr>
          <w:sz w:val="24"/>
          <w:szCs w:val="24"/>
        </w:rPr>
        <w:t>. This outcome would also reduce welfare dependency, increase tax contributions, and improve overall household income.</w:t>
      </w:r>
    </w:p>
    <w:p w14:paraId="4159DDF7" w14:textId="5CD56989" w:rsidR="00AA0385" w:rsidRPr="004567D0" w:rsidRDefault="00206886" w:rsidP="007765A4">
      <w:pPr>
        <w:pStyle w:val="ESHeading2"/>
      </w:pPr>
      <w:r w:rsidRPr="004567D0">
        <w:t>Better education</w:t>
      </w:r>
      <w:r w:rsidR="007043F4" w:rsidRPr="004567D0">
        <w:t>al</w:t>
      </w:r>
      <w:r w:rsidRPr="004567D0">
        <w:t xml:space="preserve"> outcome</w:t>
      </w:r>
      <w:r w:rsidR="00D858FF" w:rsidRPr="004567D0">
        <w:t>s</w:t>
      </w:r>
      <w:r w:rsidRPr="004567D0">
        <w:t xml:space="preserve"> for</w:t>
      </w:r>
      <w:r w:rsidR="00D858FF" w:rsidRPr="004567D0">
        <w:t xml:space="preserve"> disabled </w:t>
      </w:r>
      <w:r w:rsidR="00F100B6" w:rsidRPr="004567D0">
        <w:t>peopl</w:t>
      </w:r>
      <w:r w:rsidR="00D858FF" w:rsidRPr="004567D0">
        <w:t>e</w:t>
      </w:r>
      <w:r w:rsidR="00F100B6" w:rsidRPr="004567D0">
        <w:t xml:space="preserve"> would have </w:t>
      </w:r>
      <w:r w:rsidR="00534BEC" w:rsidRPr="004567D0">
        <w:t>driven a</w:t>
      </w:r>
      <w:r w:rsidR="006C6C47" w:rsidRPr="004567D0">
        <w:t xml:space="preserve"> </w:t>
      </w:r>
      <w:r w:rsidR="00AA0385" w:rsidRPr="004567D0">
        <w:t>$</w:t>
      </w:r>
      <w:r w:rsidR="004567D0" w:rsidRPr="004567D0">
        <w:t xml:space="preserve">132 </w:t>
      </w:r>
      <w:r w:rsidR="00AA0385" w:rsidRPr="004567D0">
        <w:t>million increase in</w:t>
      </w:r>
      <w:r w:rsidR="00534BEC" w:rsidRPr="004567D0">
        <w:t xml:space="preserve"> </w:t>
      </w:r>
      <w:r w:rsidR="00AA0385" w:rsidRPr="004567D0">
        <w:t>GDP in 202</w:t>
      </w:r>
      <w:r w:rsidR="004567D0" w:rsidRPr="004567D0">
        <w:t>5</w:t>
      </w:r>
      <w:r w:rsidR="00AA0385" w:rsidRPr="004567D0">
        <w:t xml:space="preserve"> </w:t>
      </w:r>
    </w:p>
    <w:p w14:paraId="4DF99B9D" w14:textId="25882A07" w:rsidR="00E17EA3" w:rsidRPr="00D20EE1" w:rsidRDefault="00E17EA3" w:rsidP="004A5A57">
      <w:pPr>
        <w:pStyle w:val="USBodyText"/>
        <w:rPr>
          <w:sz w:val="24"/>
          <w:szCs w:val="24"/>
        </w:rPr>
      </w:pPr>
      <w:bookmarkStart w:id="0" w:name="_Hlk202538625"/>
      <w:r w:rsidRPr="00D20EE1">
        <w:rPr>
          <w:sz w:val="24"/>
          <w:szCs w:val="24"/>
        </w:rPr>
        <w:t xml:space="preserve">Disabled people are more likely to have no formal qualifications and less likely to attain higher education, especially at the </w:t>
      </w:r>
      <w:r w:rsidR="001357F3" w:rsidRPr="00D20EE1">
        <w:rPr>
          <w:sz w:val="24"/>
          <w:szCs w:val="24"/>
        </w:rPr>
        <w:t>bachelor’s</w:t>
      </w:r>
      <w:r w:rsidRPr="00D20EE1">
        <w:rPr>
          <w:sz w:val="24"/>
          <w:szCs w:val="24"/>
        </w:rPr>
        <w:t xml:space="preserve"> and postgraduate levels.</w:t>
      </w:r>
    </w:p>
    <w:p w14:paraId="126BF626" w14:textId="0D587056" w:rsidR="004A5A57" w:rsidRPr="00D20EE1" w:rsidRDefault="004A5A57" w:rsidP="004A5A57">
      <w:pPr>
        <w:pStyle w:val="USBodyText"/>
        <w:rPr>
          <w:sz w:val="24"/>
          <w:szCs w:val="24"/>
        </w:rPr>
      </w:pPr>
      <w:r w:rsidRPr="00D20EE1">
        <w:rPr>
          <w:sz w:val="24"/>
          <w:szCs w:val="24"/>
        </w:rPr>
        <w:t xml:space="preserve">The estimated macroeconomic impact under this scenario is a </w:t>
      </w:r>
      <w:r w:rsidRPr="00D20EE1">
        <w:rPr>
          <w:b/>
          <w:bCs/>
          <w:sz w:val="24"/>
          <w:szCs w:val="24"/>
        </w:rPr>
        <w:t>$</w:t>
      </w:r>
      <w:r w:rsidR="004567D0" w:rsidRPr="00D20EE1">
        <w:rPr>
          <w:b/>
          <w:bCs/>
          <w:sz w:val="24"/>
          <w:szCs w:val="24"/>
        </w:rPr>
        <w:t xml:space="preserve">132 </w:t>
      </w:r>
      <w:r w:rsidRPr="00D20EE1">
        <w:rPr>
          <w:b/>
          <w:bCs/>
          <w:sz w:val="24"/>
          <w:szCs w:val="24"/>
        </w:rPr>
        <w:t>million increase in GDP in 202</w:t>
      </w:r>
      <w:r w:rsidR="004567D0" w:rsidRPr="00D20EE1">
        <w:rPr>
          <w:b/>
          <w:bCs/>
          <w:sz w:val="24"/>
          <w:szCs w:val="24"/>
        </w:rPr>
        <w:t>5</w:t>
      </w:r>
      <w:r w:rsidRPr="00D20EE1">
        <w:rPr>
          <w:sz w:val="24"/>
          <w:szCs w:val="24"/>
        </w:rPr>
        <w:t>, reflecting the long-term benefits of investing in education and skill development for this population.</w:t>
      </w:r>
    </w:p>
    <w:p w14:paraId="6F73D1C1" w14:textId="2B0E00DD" w:rsidR="00190864" w:rsidRDefault="00341C18" w:rsidP="00633318">
      <w:pPr>
        <w:pStyle w:val="ESHeading2"/>
      </w:pPr>
      <w:r>
        <w:lastRenderedPageBreak/>
        <w:t xml:space="preserve">Better educational outcomes for disabled people </w:t>
      </w:r>
      <w:r w:rsidR="00633318">
        <w:t>improve</w:t>
      </w:r>
      <w:r w:rsidR="00595397">
        <w:t xml:space="preserve"> wellbeing beyond economic outcomes</w:t>
      </w:r>
      <w:r w:rsidR="00633318">
        <w:t>,</w:t>
      </w:r>
      <w:r w:rsidR="00595397">
        <w:t xml:space="preserve"> such as improvements in mental wellbeing, social participation and </w:t>
      </w:r>
      <w:r w:rsidR="00633318">
        <w:t>health literacy</w:t>
      </w:r>
    </w:p>
    <w:p w14:paraId="67265A79" w14:textId="4942DC3D" w:rsidR="00D24E85" w:rsidRPr="00D20EE1" w:rsidRDefault="00D24E85" w:rsidP="00D24E85">
      <w:pPr>
        <w:pStyle w:val="USBodyText"/>
        <w:rPr>
          <w:sz w:val="24"/>
          <w:szCs w:val="24"/>
        </w:rPr>
      </w:pPr>
      <w:r w:rsidRPr="00D20EE1">
        <w:rPr>
          <w:sz w:val="24"/>
          <w:szCs w:val="24"/>
        </w:rPr>
        <w:t>Improved educational outcomes for disabled people unlock better employment prospects, higher earnings, and greater financial independence, narrowing the employment and income gap while reducing reliance on welfare support.</w:t>
      </w:r>
    </w:p>
    <w:p w14:paraId="4569BC42" w14:textId="36F2258F" w:rsidR="00D24E85" w:rsidRPr="00D20EE1" w:rsidRDefault="00D24E85" w:rsidP="00D24E85">
      <w:pPr>
        <w:pStyle w:val="USBodyText"/>
        <w:rPr>
          <w:sz w:val="24"/>
          <w:szCs w:val="24"/>
        </w:rPr>
      </w:pPr>
      <w:r w:rsidRPr="00D20EE1">
        <w:rPr>
          <w:sz w:val="24"/>
          <w:szCs w:val="24"/>
        </w:rPr>
        <w:t xml:space="preserve">Education fosters social inclusion and civic participation by enabling disabled learners to build diverse social networks, develop professional skills, and actively engage in community life, </w:t>
      </w:r>
      <w:r w:rsidR="00446067" w:rsidRPr="00D20EE1">
        <w:rPr>
          <w:sz w:val="24"/>
          <w:szCs w:val="24"/>
        </w:rPr>
        <w:t>thereby strengthening their role as valued member</w:t>
      </w:r>
      <w:r w:rsidR="00190864" w:rsidRPr="00D20EE1">
        <w:rPr>
          <w:sz w:val="24"/>
          <w:szCs w:val="24"/>
        </w:rPr>
        <w:t>s of the community.</w:t>
      </w:r>
    </w:p>
    <w:p w14:paraId="046803D3" w14:textId="1487337D" w:rsidR="00D24E85" w:rsidRPr="00D20EE1" w:rsidRDefault="00D24E85" w:rsidP="00D24E85">
      <w:pPr>
        <w:pStyle w:val="USBodyText"/>
        <w:rPr>
          <w:sz w:val="24"/>
          <w:szCs w:val="24"/>
        </w:rPr>
      </w:pPr>
      <w:r w:rsidRPr="00D20EE1">
        <w:rPr>
          <w:sz w:val="24"/>
          <w:szCs w:val="24"/>
        </w:rPr>
        <w:t>Higher educational attainment enhances personal wellbeing, contributing to increased self-esteem, life satisfaction, health literacy, and long-term health.</w:t>
      </w:r>
    </w:p>
    <w:bookmarkEnd w:id="0"/>
    <w:p w14:paraId="41FEB36A" w14:textId="60853C80" w:rsidR="004A5A57" w:rsidRPr="004A5A57" w:rsidRDefault="00676EB2" w:rsidP="0075334E">
      <w:pPr>
        <w:pStyle w:val="ESHeading2"/>
      </w:pPr>
      <w:r>
        <w:t xml:space="preserve">The </w:t>
      </w:r>
      <w:r w:rsidR="00BA618A">
        <w:t>implications</w:t>
      </w:r>
      <w:r>
        <w:t xml:space="preserve"> for the economy </w:t>
      </w:r>
    </w:p>
    <w:p w14:paraId="52CEC348" w14:textId="515179A7" w:rsidR="004A5A57" w:rsidRPr="00D20EE1" w:rsidRDefault="004A5A57" w:rsidP="004A5A57">
      <w:pPr>
        <w:pStyle w:val="USBodyText"/>
        <w:rPr>
          <w:sz w:val="24"/>
          <w:szCs w:val="24"/>
        </w:rPr>
      </w:pPr>
      <w:r w:rsidRPr="00D20EE1">
        <w:rPr>
          <w:sz w:val="24"/>
          <w:szCs w:val="24"/>
        </w:rPr>
        <w:t>Both scenarios demonstrate that improving employment and productivity outcomes for</w:t>
      </w:r>
      <w:r w:rsidR="003D05BF" w:rsidRPr="00D20EE1">
        <w:rPr>
          <w:sz w:val="24"/>
          <w:szCs w:val="24"/>
        </w:rPr>
        <w:t xml:space="preserve"> disabled people</w:t>
      </w:r>
      <w:r w:rsidRPr="00D20EE1">
        <w:rPr>
          <w:sz w:val="24"/>
          <w:szCs w:val="24"/>
        </w:rPr>
        <w:t xml:space="preserve"> can deliver significant economic returns</w:t>
      </w:r>
      <w:r w:rsidR="00561F6A" w:rsidRPr="00D20EE1">
        <w:rPr>
          <w:sz w:val="24"/>
          <w:szCs w:val="24"/>
        </w:rPr>
        <w:t xml:space="preserve"> for</w:t>
      </w:r>
      <w:r w:rsidR="00433B9B" w:rsidRPr="00D20EE1">
        <w:rPr>
          <w:sz w:val="24"/>
          <w:szCs w:val="24"/>
        </w:rPr>
        <w:t xml:space="preserve"> all of</w:t>
      </w:r>
      <w:r w:rsidR="00561F6A" w:rsidRPr="00D20EE1">
        <w:rPr>
          <w:sz w:val="24"/>
          <w:szCs w:val="24"/>
        </w:rPr>
        <w:t xml:space="preserve"> New Ze</w:t>
      </w:r>
      <w:r w:rsidR="00E210EA" w:rsidRPr="00D20EE1">
        <w:rPr>
          <w:sz w:val="24"/>
          <w:szCs w:val="24"/>
        </w:rPr>
        <w:t>aland</w:t>
      </w:r>
      <w:r w:rsidRPr="00D20EE1">
        <w:rPr>
          <w:sz w:val="24"/>
          <w:szCs w:val="24"/>
        </w:rPr>
        <w:t xml:space="preserve">, alongside wider social benefits. Increased employment and higher productivity would improve living standards for </w:t>
      </w:r>
      <w:r w:rsidR="00E17EA3" w:rsidRPr="00D20EE1">
        <w:rPr>
          <w:sz w:val="24"/>
          <w:szCs w:val="24"/>
        </w:rPr>
        <w:t xml:space="preserve">disabled </w:t>
      </w:r>
      <w:r w:rsidR="00420100" w:rsidRPr="00D20EE1">
        <w:rPr>
          <w:sz w:val="24"/>
          <w:szCs w:val="24"/>
        </w:rPr>
        <w:t>people</w:t>
      </w:r>
      <w:r w:rsidRPr="00D20EE1">
        <w:rPr>
          <w:sz w:val="24"/>
          <w:szCs w:val="24"/>
        </w:rPr>
        <w:t xml:space="preserve">, reduce poverty risks, and promote financial independence. From a fiscal perspective, these improvements would </w:t>
      </w:r>
      <w:r w:rsidR="00816CB1" w:rsidRPr="00D20EE1">
        <w:rPr>
          <w:sz w:val="24"/>
          <w:szCs w:val="24"/>
        </w:rPr>
        <w:t xml:space="preserve">relieve </w:t>
      </w:r>
      <w:r w:rsidRPr="00D20EE1">
        <w:rPr>
          <w:sz w:val="24"/>
          <w:szCs w:val="24"/>
        </w:rPr>
        <w:t>pressure on welfare systems and contribute to a more inclusive, productive economy.</w:t>
      </w:r>
    </w:p>
    <w:p w14:paraId="612672D4" w14:textId="2EF14544" w:rsidR="004A5A57" w:rsidRPr="00D20EE1" w:rsidRDefault="004A5A57" w:rsidP="004A5A57">
      <w:pPr>
        <w:pStyle w:val="USBodyText"/>
        <w:rPr>
          <w:sz w:val="24"/>
          <w:szCs w:val="24"/>
        </w:rPr>
      </w:pPr>
      <w:r w:rsidRPr="00D20EE1">
        <w:rPr>
          <w:sz w:val="24"/>
          <w:szCs w:val="24"/>
        </w:rPr>
        <w:t xml:space="preserve">The study also highlights persistent structural barriers that prevent </w:t>
      </w:r>
      <w:r w:rsidR="00E17EA3" w:rsidRPr="00D20EE1">
        <w:rPr>
          <w:sz w:val="24"/>
          <w:szCs w:val="24"/>
        </w:rPr>
        <w:t xml:space="preserve">disabled people </w:t>
      </w:r>
      <w:r w:rsidRPr="00D20EE1">
        <w:rPr>
          <w:sz w:val="24"/>
          <w:szCs w:val="24"/>
        </w:rPr>
        <w:t xml:space="preserve">from participating fully in the labour market, including lower educational attainment, limited access to high-skilled occupations, and higher exposure to job insecurity. International evidence, including OECD research, confirms that early intervention, accessible education, and integrated employment services are essential to achieving sustained improvements in outcomes for </w:t>
      </w:r>
      <w:r w:rsidR="003D05BF" w:rsidRPr="00D20EE1">
        <w:rPr>
          <w:sz w:val="24"/>
          <w:szCs w:val="24"/>
        </w:rPr>
        <w:t>disabled people</w:t>
      </w:r>
      <w:r w:rsidRPr="00D20EE1">
        <w:rPr>
          <w:sz w:val="24"/>
          <w:szCs w:val="24"/>
        </w:rPr>
        <w:t>.</w:t>
      </w:r>
    </w:p>
    <w:p w14:paraId="1B100868" w14:textId="78FB19D1" w:rsidR="004A5A57" w:rsidRPr="00D20EE1" w:rsidRDefault="004A5A57" w:rsidP="004A5A57">
      <w:pPr>
        <w:pStyle w:val="USBodyText"/>
        <w:rPr>
          <w:sz w:val="24"/>
          <w:szCs w:val="24"/>
        </w:rPr>
      </w:pPr>
      <w:r w:rsidRPr="00D20EE1">
        <w:rPr>
          <w:sz w:val="24"/>
          <w:szCs w:val="24"/>
        </w:rPr>
        <w:t xml:space="preserve">These findings reinforce the need for coordinated policies that address educational disparities, workplace accessibility, and inclusive hiring practices. Improving employment and educational outcomes for </w:t>
      </w:r>
      <w:r w:rsidR="003D05BF" w:rsidRPr="00D20EE1">
        <w:rPr>
          <w:sz w:val="24"/>
          <w:szCs w:val="24"/>
        </w:rPr>
        <w:t xml:space="preserve">disabled people </w:t>
      </w:r>
      <w:r w:rsidRPr="00D20EE1">
        <w:rPr>
          <w:sz w:val="24"/>
          <w:szCs w:val="24"/>
        </w:rPr>
        <w:t>is not only a matter of social equity but also an opportunity to realise untapped economic potential and deliver long-term benefits to the New Zealand economy.</w:t>
      </w:r>
    </w:p>
    <w:p w14:paraId="56A20C8F" w14:textId="77777777" w:rsidR="00731CA6" w:rsidRDefault="00731CA6" w:rsidP="00731CA6">
      <w:pPr>
        <w:pStyle w:val="USBodyText"/>
      </w:pPr>
      <w:bookmarkStart w:id="1" w:name="_Toc17454021"/>
      <w:bookmarkEnd w:id="1"/>
    </w:p>
    <w:p w14:paraId="75542566" w14:textId="408C04D4" w:rsidR="00731CA6" w:rsidRPr="00731CA6" w:rsidRDefault="00731CA6" w:rsidP="00731CA6">
      <w:pPr>
        <w:pStyle w:val="USBodyText"/>
        <w:sectPr w:rsidR="00731CA6" w:rsidRPr="00731CA6" w:rsidSect="00697268">
          <w:headerReference w:type="even" r:id="rId21"/>
          <w:headerReference w:type="default" r:id="rId22"/>
          <w:footerReference w:type="default" r:id="rId23"/>
          <w:headerReference w:type="first" r:id="rId24"/>
          <w:pgSz w:w="11907" w:h="16839" w:code="9"/>
          <w:pgMar w:top="1701" w:right="1418" w:bottom="1418" w:left="1418" w:header="851" w:footer="851" w:gutter="0"/>
          <w:pgNumType w:fmt="lowerRoman" w:start="1"/>
          <w:cols w:space="708"/>
          <w:docGrid w:linePitch="360"/>
        </w:sectPr>
      </w:pPr>
    </w:p>
    <w:p w14:paraId="21512881" w14:textId="27FBF51B" w:rsidR="00DC354C" w:rsidRDefault="00DC354C" w:rsidP="00DC354C">
      <w:pPr>
        <w:pStyle w:val="HeadingContents"/>
      </w:pPr>
      <w:r>
        <w:lastRenderedPageBreak/>
        <w:t>Contents</w:t>
      </w:r>
    </w:p>
    <w:tbl>
      <w:tblPr>
        <w:tblStyle w:val="TableGridLight"/>
        <w:tblW w:w="9393" w:type="dxa"/>
        <w:tblInd w:w="0" w:type="dxa"/>
        <w:tblCellMar>
          <w:left w:w="0" w:type="dxa"/>
          <w:right w:w="0" w:type="dxa"/>
        </w:tblCellMar>
        <w:tblLook w:val="04A0" w:firstRow="1" w:lastRow="0" w:firstColumn="1" w:lastColumn="0" w:noHBand="0" w:noVBand="1"/>
      </w:tblPr>
      <w:tblGrid>
        <w:gridCol w:w="9393"/>
      </w:tblGrid>
      <w:tr w:rsidR="00DC354C" w14:paraId="3DB5D26C" w14:textId="77777777" w:rsidTr="001C0653">
        <w:tc>
          <w:tcPr>
            <w:tcW w:w="9393" w:type="dxa"/>
            <w:tcBorders>
              <w:top w:val="nil"/>
              <w:left w:val="nil"/>
              <w:bottom w:val="nil"/>
              <w:right w:val="nil"/>
            </w:tcBorders>
          </w:tcPr>
          <w:p w14:paraId="366F0B17" w14:textId="0D7D537D" w:rsidR="00D20EE1" w:rsidRPr="00CD33D8" w:rsidRDefault="00DC354C">
            <w:pPr>
              <w:pStyle w:val="TOC1"/>
              <w:rPr>
                <w:rFonts w:asciiTheme="minorHAnsi" w:eastAsiaTheme="minorEastAsia" w:hAnsiTheme="minorHAnsi"/>
                <w:noProof/>
                <w:kern w:val="2"/>
                <w:sz w:val="24"/>
                <w:szCs w:val="24"/>
                <w:lang w:eastAsia="en-NZ"/>
                <w14:ligatures w14:val="standardContextual"/>
              </w:rPr>
            </w:pPr>
            <w:r w:rsidRPr="00CD33D8">
              <w:rPr>
                <w:color w:val="0094C5"/>
                <w:sz w:val="24"/>
                <w:szCs w:val="24"/>
              </w:rPr>
              <w:fldChar w:fldCharType="begin"/>
            </w:r>
            <w:r w:rsidRPr="000E029E">
              <w:rPr>
                <w:sz w:val="24"/>
                <w:szCs w:val="24"/>
              </w:rPr>
              <w:instrText xml:space="preserve"> TOC </w:instrText>
            </w:r>
            <w:r w:rsidR="00F175C3" w:rsidRPr="000E029E">
              <w:rPr>
                <w:sz w:val="24"/>
                <w:szCs w:val="24"/>
              </w:rPr>
              <w:instrText xml:space="preserve"> </w:instrText>
            </w:r>
            <w:r w:rsidR="004761CC" w:rsidRPr="000E029E">
              <w:rPr>
                <w:sz w:val="24"/>
                <w:szCs w:val="24"/>
              </w:rPr>
              <w:instrText>\o "1-</w:instrText>
            </w:r>
            <w:r w:rsidR="00780A71" w:rsidRPr="000E029E">
              <w:rPr>
                <w:sz w:val="24"/>
                <w:szCs w:val="24"/>
              </w:rPr>
              <w:instrText>2</w:instrText>
            </w:r>
            <w:r w:rsidR="004761CC" w:rsidRPr="000E029E">
              <w:rPr>
                <w:sz w:val="24"/>
                <w:szCs w:val="24"/>
              </w:rPr>
              <w:instrText xml:space="preserve">" \t </w:instrText>
            </w:r>
            <w:r w:rsidR="00780A71" w:rsidRPr="000E029E">
              <w:rPr>
                <w:sz w:val="24"/>
                <w:szCs w:val="24"/>
              </w:rPr>
              <w:instrText>\</w:instrText>
            </w:r>
            <w:r w:rsidR="00C005FA" w:rsidRPr="000E029E">
              <w:rPr>
                <w:sz w:val="24"/>
                <w:szCs w:val="24"/>
              </w:rPr>
              <w:instrText>h</w:instrText>
            </w:r>
            <w:r w:rsidR="004761CC" w:rsidRPr="000E029E">
              <w:rPr>
                <w:sz w:val="24"/>
                <w:szCs w:val="24"/>
              </w:rPr>
              <w:instrText>"</w:instrText>
            </w:r>
            <w:r w:rsidRPr="000E029E">
              <w:rPr>
                <w:sz w:val="24"/>
                <w:szCs w:val="24"/>
              </w:rPr>
              <w:instrText xml:space="preserve"> </w:instrText>
            </w:r>
            <w:r w:rsidRPr="00CD33D8">
              <w:rPr>
                <w:color w:val="0094C5"/>
                <w:sz w:val="24"/>
                <w:szCs w:val="24"/>
              </w:rPr>
              <w:fldChar w:fldCharType="separate"/>
            </w:r>
            <w:hyperlink w:anchor="_Toc220924660" w:history="1">
              <w:r w:rsidR="00D20EE1" w:rsidRPr="000E029E">
                <w:rPr>
                  <w:rStyle w:val="Hyperlink"/>
                  <w:noProof/>
                  <w:sz w:val="24"/>
                  <w:szCs w:val="24"/>
                </w:rPr>
                <w:t>1</w:t>
              </w:r>
              <w:r w:rsidR="00D20EE1" w:rsidRPr="00CD33D8">
                <w:rPr>
                  <w:rFonts w:asciiTheme="minorHAnsi" w:eastAsiaTheme="minorEastAsia" w:hAnsiTheme="minorHAnsi"/>
                  <w:noProof/>
                  <w:kern w:val="2"/>
                  <w:sz w:val="24"/>
                  <w:szCs w:val="24"/>
                  <w:lang w:eastAsia="en-NZ"/>
                  <w14:ligatures w14:val="standardContextual"/>
                </w:rPr>
                <w:tab/>
              </w:r>
              <w:r w:rsidR="00D20EE1" w:rsidRPr="000E029E">
                <w:rPr>
                  <w:rStyle w:val="Hyperlink"/>
                  <w:noProof/>
                  <w:sz w:val="24"/>
                  <w:szCs w:val="24"/>
                </w:rPr>
                <w:t>Objectives and scope</w:t>
              </w:r>
              <w:r w:rsidR="00D20EE1" w:rsidRPr="000E029E">
                <w:rPr>
                  <w:noProof/>
                  <w:sz w:val="24"/>
                  <w:szCs w:val="24"/>
                </w:rPr>
                <w:tab/>
              </w:r>
              <w:r w:rsidR="00D20EE1" w:rsidRPr="000E029E">
                <w:rPr>
                  <w:noProof/>
                  <w:sz w:val="24"/>
                  <w:szCs w:val="24"/>
                </w:rPr>
                <w:fldChar w:fldCharType="begin"/>
              </w:r>
              <w:r w:rsidR="00D20EE1" w:rsidRPr="000E029E">
                <w:rPr>
                  <w:noProof/>
                  <w:sz w:val="24"/>
                  <w:szCs w:val="24"/>
                </w:rPr>
                <w:instrText xml:space="preserve"> PAGEREF _Toc220924660 \h </w:instrText>
              </w:r>
              <w:r w:rsidR="00D20EE1" w:rsidRPr="000E029E">
                <w:rPr>
                  <w:noProof/>
                  <w:sz w:val="24"/>
                  <w:szCs w:val="24"/>
                </w:rPr>
              </w:r>
              <w:r w:rsidR="00D20EE1" w:rsidRPr="000E029E">
                <w:rPr>
                  <w:noProof/>
                  <w:sz w:val="24"/>
                  <w:szCs w:val="24"/>
                </w:rPr>
                <w:fldChar w:fldCharType="separate"/>
              </w:r>
              <w:r w:rsidR="006E35CE">
                <w:rPr>
                  <w:noProof/>
                  <w:sz w:val="24"/>
                  <w:szCs w:val="24"/>
                </w:rPr>
                <w:t>1</w:t>
              </w:r>
              <w:r w:rsidR="00D20EE1" w:rsidRPr="000E029E">
                <w:rPr>
                  <w:noProof/>
                  <w:sz w:val="24"/>
                  <w:szCs w:val="24"/>
                </w:rPr>
                <w:fldChar w:fldCharType="end"/>
              </w:r>
            </w:hyperlink>
          </w:p>
          <w:p w14:paraId="5D0936E3" w14:textId="41A19697" w:rsidR="00D20EE1" w:rsidRPr="00CD33D8" w:rsidRDefault="00D20EE1">
            <w:pPr>
              <w:pStyle w:val="TOC1"/>
              <w:rPr>
                <w:rFonts w:asciiTheme="minorHAnsi" w:eastAsiaTheme="minorEastAsia" w:hAnsiTheme="minorHAnsi"/>
                <w:noProof/>
                <w:kern w:val="2"/>
                <w:sz w:val="24"/>
                <w:szCs w:val="24"/>
                <w:lang w:eastAsia="en-NZ"/>
                <w14:ligatures w14:val="standardContextual"/>
              </w:rPr>
            </w:pPr>
            <w:hyperlink w:anchor="_Toc220924661" w:history="1">
              <w:r w:rsidRPr="000E029E">
                <w:rPr>
                  <w:rStyle w:val="Hyperlink"/>
                  <w:noProof/>
                  <w:sz w:val="24"/>
                  <w:szCs w:val="24"/>
                </w:rPr>
                <w:t>2</w:t>
              </w:r>
              <w:r w:rsidRPr="00CD33D8">
                <w:rPr>
                  <w:rFonts w:asciiTheme="minorHAnsi" w:eastAsiaTheme="minorEastAsia" w:hAnsiTheme="minorHAnsi"/>
                  <w:noProof/>
                  <w:kern w:val="2"/>
                  <w:sz w:val="24"/>
                  <w:szCs w:val="24"/>
                  <w:lang w:eastAsia="en-NZ"/>
                  <w14:ligatures w14:val="standardContextual"/>
                </w:rPr>
                <w:tab/>
              </w:r>
              <w:r w:rsidRPr="000E029E">
                <w:rPr>
                  <w:rStyle w:val="Hyperlink"/>
                  <w:noProof/>
                  <w:sz w:val="24"/>
                  <w:szCs w:val="24"/>
                </w:rPr>
                <w:t>Disability, educational and labour market outcomes at a glance</w:t>
              </w:r>
              <w:r w:rsidRPr="000E029E">
                <w:rPr>
                  <w:noProof/>
                  <w:sz w:val="24"/>
                  <w:szCs w:val="24"/>
                </w:rPr>
                <w:tab/>
              </w:r>
              <w:r w:rsidRPr="000E029E">
                <w:rPr>
                  <w:noProof/>
                  <w:sz w:val="24"/>
                  <w:szCs w:val="24"/>
                </w:rPr>
                <w:fldChar w:fldCharType="begin"/>
              </w:r>
              <w:r w:rsidRPr="000E029E">
                <w:rPr>
                  <w:noProof/>
                  <w:sz w:val="24"/>
                  <w:szCs w:val="24"/>
                </w:rPr>
                <w:instrText xml:space="preserve"> PAGEREF _Toc220924661 \h </w:instrText>
              </w:r>
              <w:r w:rsidRPr="000E029E">
                <w:rPr>
                  <w:noProof/>
                  <w:sz w:val="24"/>
                  <w:szCs w:val="24"/>
                </w:rPr>
              </w:r>
              <w:r w:rsidRPr="000E029E">
                <w:rPr>
                  <w:noProof/>
                  <w:sz w:val="24"/>
                  <w:szCs w:val="24"/>
                </w:rPr>
                <w:fldChar w:fldCharType="separate"/>
              </w:r>
              <w:r w:rsidR="006E35CE">
                <w:rPr>
                  <w:noProof/>
                  <w:sz w:val="24"/>
                  <w:szCs w:val="24"/>
                </w:rPr>
                <w:t>3</w:t>
              </w:r>
              <w:r w:rsidRPr="000E029E">
                <w:rPr>
                  <w:noProof/>
                  <w:sz w:val="24"/>
                  <w:szCs w:val="24"/>
                </w:rPr>
                <w:fldChar w:fldCharType="end"/>
              </w:r>
            </w:hyperlink>
          </w:p>
          <w:p w14:paraId="458B91E2" w14:textId="79FCE83C" w:rsidR="00D20EE1" w:rsidRPr="00CD33D8" w:rsidRDefault="00D20EE1">
            <w:pPr>
              <w:pStyle w:val="TOC1"/>
              <w:rPr>
                <w:rFonts w:asciiTheme="minorHAnsi" w:eastAsiaTheme="minorEastAsia" w:hAnsiTheme="minorHAnsi"/>
                <w:noProof/>
                <w:kern w:val="2"/>
                <w:sz w:val="24"/>
                <w:szCs w:val="24"/>
                <w:lang w:eastAsia="en-NZ"/>
                <w14:ligatures w14:val="standardContextual"/>
              </w:rPr>
            </w:pPr>
            <w:hyperlink w:anchor="_Toc220924662" w:history="1">
              <w:r w:rsidRPr="000E029E">
                <w:rPr>
                  <w:rStyle w:val="Hyperlink"/>
                  <w:noProof/>
                  <w:sz w:val="24"/>
                  <w:szCs w:val="24"/>
                </w:rPr>
                <w:t>3</w:t>
              </w:r>
              <w:r w:rsidRPr="00CD33D8">
                <w:rPr>
                  <w:rFonts w:asciiTheme="minorHAnsi" w:eastAsiaTheme="minorEastAsia" w:hAnsiTheme="minorHAnsi"/>
                  <w:noProof/>
                  <w:kern w:val="2"/>
                  <w:sz w:val="24"/>
                  <w:szCs w:val="24"/>
                  <w:lang w:eastAsia="en-NZ"/>
                  <w14:ligatures w14:val="standardContextual"/>
                </w:rPr>
                <w:tab/>
              </w:r>
              <w:r w:rsidRPr="000E029E">
                <w:rPr>
                  <w:rStyle w:val="Hyperlink"/>
                  <w:noProof/>
                  <w:sz w:val="24"/>
                  <w:szCs w:val="24"/>
                </w:rPr>
                <w:t>Educational outcomes at a glance</w:t>
              </w:r>
              <w:r w:rsidRPr="000E029E">
                <w:rPr>
                  <w:noProof/>
                  <w:sz w:val="24"/>
                  <w:szCs w:val="24"/>
                </w:rPr>
                <w:tab/>
              </w:r>
              <w:r w:rsidRPr="000E029E">
                <w:rPr>
                  <w:noProof/>
                  <w:sz w:val="24"/>
                  <w:szCs w:val="24"/>
                </w:rPr>
                <w:fldChar w:fldCharType="begin"/>
              </w:r>
              <w:r w:rsidRPr="000E029E">
                <w:rPr>
                  <w:noProof/>
                  <w:sz w:val="24"/>
                  <w:szCs w:val="24"/>
                </w:rPr>
                <w:instrText xml:space="preserve"> PAGEREF _Toc220924662 \h </w:instrText>
              </w:r>
              <w:r w:rsidRPr="000E029E">
                <w:rPr>
                  <w:noProof/>
                  <w:sz w:val="24"/>
                  <w:szCs w:val="24"/>
                </w:rPr>
              </w:r>
              <w:r w:rsidRPr="000E029E">
                <w:rPr>
                  <w:noProof/>
                  <w:sz w:val="24"/>
                  <w:szCs w:val="24"/>
                </w:rPr>
                <w:fldChar w:fldCharType="separate"/>
              </w:r>
              <w:r w:rsidR="006E35CE">
                <w:rPr>
                  <w:noProof/>
                  <w:sz w:val="24"/>
                  <w:szCs w:val="24"/>
                </w:rPr>
                <w:t>6</w:t>
              </w:r>
              <w:r w:rsidRPr="000E029E">
                <w:rPr>
                  <w:noProof/>
                  <w:sz w:val="24"/>
                  <w:szCs w:val="24"/>
                </w:rPr>
                <w:fldChar w:fldCharType="end"/>
              </w:r>
            </w:hyperlink>
          </w:p>
          <w:p w14:paraId="166868C4" w14:textId="4E362D20" w:rsidR="00D20EE1" w:rsidRPr="00CD33D8" w:rsidRDefault="00D20EE1">
            <w:pPr>
              <w:pStyle w:val="TOC2"/>
              <w:rPr>
                <w:rFonts w:asciiTheme="minorHAnsi" w:eastAsiaTheme="minorEastAsia" w:hAnsiTheme="minorHAnsi"/>
                <w:noProof/>
                <w:kern w:val="2"/>
                <w:sz w:val="24"/>
                <w:szCs w:val="24"/>
                <w:lang w:eastAsia="en-NZ"/>
                <w14:ligatures w14:val="standardContextual"/>
              </w:rPr>
            </w:pPr>
            <w:hyperlink w:anchor="_Toc220924663" w:history="1">
              <w:r w:rsidRPr="000E029E">
                <w:rPr>
                  <w:rStyle w:val="Hyperlink"/>
                  <w:noProof/>
                  <w:sz w:val="24"/>
                  <w:szCs w:val="24"/>
                </w:rPr>
                <w:t>3.1</w:t>
              </w:r>
              <w:r w:rsidRPr="00CD33D8">
                <w:rPr>
                  <w:rFonts w:asciiTheme="minorHAnsi" w:eastAsiaTheme="minorEastAsia" w:hAnsiTheme="minorHAnsi"/>
                  <w:noProof/>
                  <w:kern w:val="2"/>
                  <w:sz w:val="24"/>
                  <w:szCs w:val="24"/>
                  <w:lang w:eastAsia="en-NZ"/>
                  <w14:ligatures w14:val="standardContextual"/>
                </w:rPr>
                <w:tab/>
              </w:r>
              <w:r w:rsidRPr="000E029E">
                <w:rPr>
                  <w:rStyle w:val="Hyperlink"/>
                  <w:noProof/>
                  <w:sz w:val="24"/>
                  <w:szCs w:val="24"/>
                </w:rPr>
                <w:t>Educational outcomes in New Zealand</w:t>
              </w:r>
              <w:r w:rsidRPr="000E029E">
                <w:rPr>
                  <w:noProof/>
                  <w:sz w:val="24"/>
                  <w:szCs w:val="24"/>
                </w:rPr>
                <w:tab/>
              </w:r>
              <w:r w:rsidRPr="000E029E">
                <w:rPr>
                  <w:noProof/>
                  <w:sz w:val="24"/>
                  <w:szCs w:val="24"/>
                </w:rPr>
                <w:fldChar w:fldCharType="begin"/>
              </w:r>
              <w:r w:rsidRPr="000E029E">
                <w:rPr>
                  <w:noProof/>
                  <w:sz w:val="24"/>
                  <w:szCs w:val="24"/>
                </w:rPr>
                <w:instrText xml:space="preserve"> PAGEREF _Toc220924663 \h </w:instrText>
              </w:r>
              <w:r w:rsidRPr="000E029E">
                <w:rPr>
                  <w:noProof/>
                  <w:sz w:val="24"/>
                  <w:szCs w:val="24"/>
                </w:rPr>
              </w:r>
              <w:r w:rsidRPr="000E029E">
                <w:rPr>
                  <w:noProof/>
                  <w:sz w:val="24"/>
                  <w:szCs w:val="24"/>
                </w:rPr>
                <w:fldChar w:fldCharType="separate"/>
              </w:r>
              <w:r w:rsidR="006E35CE">
                <w:rPr>
                  <w:noProof/>
                  <w:sz w:val="24"/>
                  <w:szCs w:val="24"/>
                </w:rPr>
                <w:t>6</w:t>
              </w:r>
              <w:r w:rsidRPr="000E029E">
                <w:rPr>
                  <w:noProof/>
                  <w:sz w:val="24"/>
                  <w:szCs w:val="24"/>
                </w:rPr>
                <w:fldChar w:fldCharType="end"/>
              </w:r>
            </w:hyperlink>
          </w:p>
          <w:p w14:paraId="3E87DCA1" w14:textId="08130090" w:rsidR="00D20EE1" w:rsidRPr="00CD33D8" w:rsidRDefault="00D20EE1">
            <w:pPr>
              <w:pStyle w:val="TOC1"/>
              <w:rPr>
                <w:rFonts w:asciiTheme="minorHAnsi" w:eastAsiaTheme="minorEastAsia" w:hAnsiTheme="minorHAnsi"/>
                <w:noProof/>
                <w:kern w:val="2"/>
                <w:sz w:val="24"/>
                <w:szCs w:val="24"/>
                <w:lang w:eastAsia="en-NZ"/>
                <w14:ligatures w14:val="standardContextual"/>
              </w:rPr>
            </w:pPr>
            <w:hyperlink w:anchor="_Toc220924664" w:history="1">
              <w:r w:rsidRPr="000E029E">
                <w:rPr>
                  <w:rStyle w:val="Hyperlink"/>
                  <w:noProof/>
                  <w:sz w:val="24"/>
                  <w:szCs w:val="24"/>
                </w:rPr>
                <w:t>4</w:t>
              </w:r>
              <w:r w:rsidRPr="00CD33D8">
                <w:rPr>
                  <w:rFonts w:asciiTheme="minorHAnsi" w:eastAsiaTheme="minorEastAsia" w:hAnsiTheme="minorHAnsi"/>
                  <w:noProof/>
                  <w:kern w:val="2"/>
                  <w:sz w:val="24"/>
                  <w:szCs w:val="24"/>
                  <w:lang w:eastAsia="en-NZ"/>
                  <w14:ligatures w14:val="standardContextual"/>
                </w:rPr>
                <w:tab/>
              </w:r>
              <w:r w:rsidRPr="000E029E">
                <w:rPr>
                  <w:rStyle w:val="Hyperlink"/>
                  <w:noProof/>
                  <w:sz w:val="24"/>
                  <w:szCs w:val="24"/>
                </w:rPr>
                <w:t>What works for improving outcomes</w:t>
              </w:r>
              <w:r w:rsidRPr="000E029E">
                <w:rPr>
                  <w:noProof/>
                  <w:sz w:val="24"/>
                  <w:szCs w:val="24"/>
                </w:rPr>
                <w:tab/>
              </w:r>
              <w:r w:rsidRPr="000E029E">
                <w:rPr>
                  <w:noProof/>
                  <w:sz w:val="24"/>
                  <w:szCs w:val="24"/>
                </w:rPr>
                <w:fldChar w:fldCharType="begin"/>
              </w:r>
              <w:r w:rsidRPr="000E029E">
                <w:rPr>
                  <w:noProof/>
                  <w:sz w:val="24"/>
                  <w:szCs w:val="24"/>
                </w:rPr>
                <w:instrText xml:space="preserve"> PAGEREF _Toc220924664 \h </w:instrText>
              </w:r>
              <w:r w:rsidRPr="000E029E">
                <w:rPr>
                  <w:noProof/>
                  <w:sz w:val="24"/>
                  <w:szCs w:val="24"/>
                </w:rPr>
              </w:r>
              <w:r w:rsidRPr="000E029E">
                <w:rPr>
                  <w:noProof/>
                  <w:sz w:val="24"/>
                  <w:szCs w:val="24"/>
                </w:rPr>
                <w:fldChar w:fldCharType="separate"/>
              </w:r>
              <w:r w:rsidR="006E35CE">
                <w:rPr>
                  <w:noProof/>
                  <w:sz w:val="24"/>
                  <w:szCs w:val="24"/>
                </w:rPr>
                <w:t>9</w:t>
              </w:r>
              <w:r w:rsidRPr="000E029E">
                <w:rPr>
                  <w:noProof/>
                  <w:sz w:val="24"/>
                  <w:szCs w:val="24"/>
                </w:rPr>
                <w:fldChar w:fldCharType="end"/>
              </w:r>
            </w:hyperlink>
          </w:p>
          <w:p w14:paraId="7D27D384" w14:textId="6CE58D1A" w:rsidR="00D20EE1" w:rsidRPr="00CD33D8" w:rsidRDefault="00D20EE1">
            <w:pPr>
              <w:pStyle w:val="TOC2"/>
              <w:rPr>
                <w:rFonts w:asciiTheme="minorHAnsi" w:eastAsiaTheme="minorEastAsia" w:hAnsiTheme="minorHAnsi"/>
                <w:noProof/>
                <w:kern w:val="2"/>
                <w:sz w:val="24"/>
                <w:szCs w:val="24"/>
                <w:lang w:eastAsia="en-NZ"/>
                <w14:ligatures w14:val="standardContextual"/>
              </w:rPr>
            </w:pPr>
            <w:hyperlink w:anchor="_Toc220924665" w:history="1">
              <w:r w:rsidRPr="000E029E">
                <w:rPr>
                  <w:rStyle w:val="Hyperlink"/>
                  <w:noProof/>
                  <w:sz w:val="24"/>
                  <w:szCs w:val="24"/>
                </w:rPr>
                <w:t>4.1</w:t>
              </w:r>
              <w:r w:rsidRPr="00CD33D8">
                <w:rPr>
                  <w:rFonts w:asciiTheme="minorHAnsi" w:eastAsiaTheme="minorEastAsia" w:hAnsiTheme="minorHAnsi"/>
                  <w:noProof/>
                  <w:kern w:val="2"/>
                  <w:sz w:val="24"/>
                  <w:szCs w:val="24"/>
                  <w:lang w:eastAsia="en-NZ"/>
                  <w14:ligatures w14:val="standardContextual"/>
                </w:rPr>
                <w:tab/>
              </w:r>
              <w:r w:rsidRPr="000E029E">
                <w:rPr>
                  <w:rStyle w:val="Hyperlink"/>
                  <w:noProof/>
                  <w:sz w:val="24"/>
                  <w:szCs w:val="24"/>
                </w:rPr>
                <w:t>International evidence on disability, employment and policy tools</w:t>
              </w:r>
              <w:r w:rsidRPr="000E029E">
                <w:rPr>
                  <w:noProof/>
                  <w:sz w:val="24"/>
                  <w:szCs w:val="24"/>
                </w:rPr>
                <w:tab/>
              </w:r>
              <w:r w:rsidRPr="000E029E">
                <w:rPr>
                  <w:noProof/>
                  <w:sz w:val="24"/>
                  <w:szCs w:val="24"/>
                </w:rPr>
                <w:fldChar w:fldCharType="begin"/>
              </w:r>
              <w:r w:rsidRPr="000E029E">
                <w:rPr>
                  <w:noProof/>
                  <w:sz w:val="24"/>
                  <w:szCs w:val="24"/>
                </w:rPr>
                <w:instrText xml:space="preserve"> PAGEREF _Toc220924665 \h </w:instrText>
              </w:r>
              <w:r w:rsidRPr="000E029E">
                <w:rPr>
                  <w:noProof/>
                  <w:sz w:val="24"/>
                  <w:szCs w:val="24"/>
                </w:rPr>
              </w:r>
              <w:r w:rsidRPr="000E029E">
                <w:rPr>
                  <w:noProof/>
                  <w:sz w:val="24"/>
                  <w:szCs w:val="24"/>
                </w:rPr>
                <w:fldChar w:fldCharType="separate"/>
              </w:r>
              <w:r w:rsidR="006E35CE">
                <w:rPr>
                  <w:noProof/>
                  <w:sz w:val="24"/>
                  <w:szCs w:val="24"/>
                </w:rPr>
                <w:t>9</w:t>
              </w:r>
              <w:r w:rsidRPr="000E029E">
                <w:rPr>
                  <w:noProof/>
                  <w:sz w:val="24"/>
                  <w:szCs w:val="24"/>
                </w:rPr>
                <w:fldChar w:fldCharType="end"/>
              </w:r>
            </w:hyperlink>
          </w:p>
          <w:p w14:paraId="7BEA76A5" w14:textId="1C3A3379" w:rsidR="00D20EE1" w:rsidRPr="00CD33D8" w:rsidRDefault="00D20EE1">
            <w:pPr>
              <w:pStyle w:val="TOC2"/>
              <w:rPr>
                <w:rFonts w:asciiTheme="minorHAnsi" w:eastAsiaTheme="minorEastAsia" w:hAnsiTheme="minorHAnsi"/>
                <w:noProof/>
                <w:kern w:val="2"/>
                <w:sz w:val="24"/>
                <w:szCs w:val="24"/>
                <w:lang w:eastAsia="en-NZ"/>
                <w14:ligatures w14:val="standardContextual"/>
              </w:rPr>
            </w:pPr>
            <w:hyperlink w:anchor="_Toc220924666" w:history="1">
              <w:r w:rsidRPr="000E029E">
                <w:rPr>
                  <w:rStyle w:val="Hyperlink"/>
                  <w:noProof/>
                  <w:sz w:val="24"/>
                  <w:szCs w:val="24"/>
                </w:rPr>
                <w:t>4.2</w:t>
              </w:r>
              <w:r w:rsidRPr="00CD33D8">
                <w:rPr>
                  <w:rFonts w:asciiTheme="minorHAnsi" w:eastAsiaTheme="minorEastAsia" w:hAnsiTheme="minorHAnsi"/>
                  <w:noProof/>
                  <w:kern w:val="2"/>
                  <w:sz w:val="24"/>
                  <w:szCs w:val="24"/>
                  <w:lang w:eastAsia="en-NZ"/>
                  <w14:ligatures w14:val="standardContextual"/>
                </w:rPr>
                <w:tab/>
              </w:r>
              <w:r w:rsidRPr="000E029E">
                <w:rPr>
                  <w:rStyle w:val="Hyperlink"/>
                  <w:noProof/>
                  <w:sz w:val="24"/>
                  <w:szCs w:val="24"/>
                </w:rPr>
                <w:t>Remote working and labour market outcomes for disabled people</w:t>
              </w:r>
              <w:r w:rsidRPr="000E029E">
                <w:rPr>
                  <w:noProof/>
                  <w:sz w:val="24"/>
                  <w:szCs w:val="24"/>
                </w:rPr>
                <w:tab/>
              </w:r>
              <w:r w:rsidRPr="000E029E">
                <w:rPr>
                  <w:noProof/>
                  <w:sz w:val="24"/>
                  <w:szCs w:val="24"/>
                </w:rPr>
                <w:fldChar w:fldCharType="begin"/>
              </w:r>
              <w:r w:rsidRPr="000E029E">
                <w:rPr>
                  <w:noProof/>
                  <w:sz w:val="24"/>
                  <w:szCs w:val="24"/>
                </w:rPr>
                <w:instrText xml:space="preserve"> PAGEREF _Toc220924666 \h </w:instrText>
              </w:r>
              <w:r w:rsidRPr="000E029E">
                <w:rPr>
                  <w:noProof/>
                  <w:sz w:val="24"/>
                  <w:szCs w:val="24"/>
                </w:rPr>
              </w:r>
              <w:r w:rsidRPr="000E029E">
                <w:rPr>
                  <w:noProof/>
                  <w:sz w:val="24"/>
                  <w:szCs w:val="24"/>
                </w:rPr>
                <w:fldChar w:fldCharType="separate"/>
              </w:r>
              <w:r w:rsidR="006E35CE">
                <w:rPr>
                  <w:noProof/>
                  <w:sz w:val="24"/>
                  <w:szCs w:val="24"/>
                </w:rPr>
                <w:t>11</w:t>
              </w:r>
              <w:r w:rsidRPr="000E029E">
                <w:rPr>
                  <w:noProof/>
                  <w:sz w:val="24"/>
                  <w:szCs w:val="24"/>
                </w:rPr>
                <w:fldChar w:fldCharType="end"/>
              </w:r>
            </w:hyperlink>
          </w:p>
          <w:p w14:paraId="6CD69658" w14:textId="36F483BF" w:rsidR="00D20EE1" w:rsidRPr="00CD33D8" w:rsidRDefault="00D20EE1">
            <w:pPr>
              <w:pStyle w:val="TOC2"/>
              <w:rPr>
                <w:rFonts w:asciiTheme="minorHAnsi" w:eastAsiaTheme="minorEastAsia" w:hAnsiTheme="minorHAnsi"/>
                <w:noProof/>
                <w:kern w:val="2"/>
                <w:sz w:val="24"/>
                <w:szCs w:val="24"/>
                <w:lang w:eastAsia="en-NZ"/>
                <w14:ligatures w14:val="standardContextual"/>
              </w:rPr>
            </w:pPr>
            <w:hyperlink w:anchor="_Toc220924667" w:history="1">
              <w:r w:rsidRPr="000E029E">
                <w:rPr>
                  <w:rStyle w:val="Hyperlink"/>
                  <w:noProof/>
                  <w:sz w:val="24"/>
                  <w:szCs w:val="24"/>
                </w:rPr>
                <w:t>4.3</w:t>
              </w:r>
              <w:r w:rsidRPr="00CD33D8">
                <w:rPr>
                  <w:rFonts w:asciiTheme="minorHAnsi" w:eastAsiaTheme="minorEastAsia" w:hAnsiTheme="minorHAnsi"/>
                  <w:noProof/>
                  <w:kern w:val="2"/>
                  <w:sz w:val="24"/>
                  <w:szCs w:val="24"/>
                  <w:lang w:eastAsia="en-NZ"/>
                  <w14:ligatures w14:val="standardContextual"/>
                </w:rPr>
                <w:tab/>
              </w:r>
              <w:r w:rsidRPr="000E029E">
                <w:rPr>
                  <w:rStyle w:val="Hyperlink"/>
                  <w:noProof/>
                  <w:sz w:val="24"/>
                  <w:szCs w:val="24"/>
                </w:rPr>
                <w:t>Education as empowerment for disabled people</w:t>
              </w:r>
              <w:r w:rsidRPr="000E029E">
                <w:rPr>
                  <w:noProof/>
                  <w:sz w:val="24"/>
                  <w:szCs w:val="24"/>
                </w:rPr>
                <w:tab/>
              </w:r>
              <w:r w:rsidRPr="000E029E">
                <w:rPr>
                  <w:noProof/>
                  <w:sz w:val="24"/>
                  <w:szCs w:val="24"/>
                </w:rPr>
                <w:fldChar w:fldCharType="begin"/>
              </w:r>
              <w:r w:rsidRPr="000E029E">
                <w:rPr>
                  <w:noProof/>
                  <w:sz w:val="24"/>
                  <w:szCs w:val="24"/>
                </w:rPr>
                <w:instrText xml:space="preserve"> PAGEREF _Toc220924667 \h </w:instrText>
              </w:r>
              <w:r w:rsidRPr="000E029E">
                <w:rPr>
                  <w:noProof/>
                  <w:sz w:val="24"/>
                  <w:szCs w:val="24"/>
                </w:rPr>
              </w:r>
              <w:r w:rsidRPr="000E029E">
                <w:rPr>
                  <w:noProof/>
                  <w:sz w:val="24"/>
                  <w:szCs w:val="24"/>
                </w:rPr>
                <w:fldChar w:fldCharType="separate"/>
              </w:r>
              <w:r w:rsidR="006E35CE">
                <w:rPr>
                  <w:noProof/>
                  <w:sz w:val="24"/>
                  <w:szCs w:val="24"/>
                </w:rPr>
                <w:t>12</w:t>
              </w:r>
              <w:r w:rsidRPr="000E029E">
                <w:rPr>
                  <w:noProof/>
                  <w:sz w:val="24"/>
                  <w:szCs w:val="24"/>
                </w:rPr>
                <w:fldChar w:fldCharType="end"/>
              </w:r>
            </w:hyperlink>
          </w:p>
          <w:p w14:paraId="7F52984A" w14:textId="09698BC3" w:rsidR="00D20EE1" w:rsidRPr="00CD33D8" w:rsidRDefault="00D20EE1">
            <w:pPr>
              <w:pStyle w:val="TOC1"/>
              <w:rPr>
                <w:rFonts w:asciiTheme="minorHAnsi" w:eastAsiaTheme="minorEastAsia" w:hAnsiTheme="minorHAnsi"/>
                <w:noProof/>
                <w:kern w:val="2"/>
                <w:sz w:val="24"/>
                <w:szCs w:val="24"/>
                <w:lang w:eastAsia="en-NZ"/>
                <w14:ligatures w14:val="standardContextual"/>
              </w:rPr>
            </w:pPr>
            <w:hyperlink w:anchor="_Toc220924668" w:history="1">
              <w:r w:rsidRPr="000E029E">
                <w:rPr>
                  <w:rStyle w:val="Hyperlink"/>
                  <w:noProof/>
                  <w:sz w:val="24"/>
                  <w:szCs w:val="24"/>
                </w:rPr>
                <w:t>5</w:t>
              </w:r>
              <w:r w:rsidRPr="00CD33D8">
                <w:rPr>
                  <w:rFonts w:asciiTheme="minorHAnsi" w:eastAsiaTheme="minorEastAsia" w:hAnsiTheme="minorHAnsi"/>
                  <w:noProof/>
                  <w:kern w:val="2"/>
                  <w:sz w:val="24"/>
                  <w:szCs w:val="24"/>
                  <w:lang w:eastAsia="en-NZ"/>
                  <w14:ligatures w14:val="standardContextual"/>
                </w:rPr>
                <w:tab/>
              </w:r>
              <w:r w:rsidRPr="000E029E">
                <w:rPr>
                  <w:rStyle w:val="Hyperlink"/>
                  <w:noProof/>
                  <w:sz w:val="24"/>
                  <w:szCs w:val="24"/>
                </w:rPr>
                <w:t>Our modelling approach</w:t>
              </w:r>
              <w:r w:rsidRPr="000E029E">
                <w:rPr>
                  <w:noProof/>
                  <w:sz w:val="24"/>
                  <w:szCs w:val="24"/>
                </w:rPr>
                <w:tab/>
              </w:r>
              <w:r w:rsidRPr="000E029E">
                <w:rPr>
                  <w:noProof/>
                  <w:sz w:val="24"/>
                  <w:szCs w:val="24"/>
                </w:rPr>
                <w:fldChar w:fldCharType="begin"/>
              </w:r>
              <w:r w:rsidRPr="000E029E">
                <w:rPr>
                  <w:noProof/>
                  <w:sz w:val="24"/>
                  <w:szCs w:val="24"/>
                </w:rPr>
                <w:instrText xml:space="preserve"> PAGEREF _Toc220924668 \h </w:instrText>
              </w:r>
              <w:r w:rsidRPr="000E029E">
                <w:rPr>
                  <w:noProof/>
                  <w:sz w:val="24"/>
                  <w:szCs w:val="24"/>
                </w:rPr>
              </w:r>
              <w:r w:rsidRPr="000E029E">
                <w:rPr>
                  <w:noProof/>
                  <w:sz w:val="24"/>
                  <w:szCs w:val="24"/>
                </w:rPr>
                <w:fldChar w:fldCharType="separate"/>
              </w:r>
              <w:r w:rsidR="006E35CE">
                <w:rPr>
                  <w:noProof/>
                  <w:sz w:val="24"/>
                  <w:szCs w:val="24"/>
                </w:rPr>
                <w:t>14</w:t>
              </w:r>
              <w:r w:rsidRPr="000E029E">
                <w:rPr>
                  <w:noProof/>
                  <w:sz w:val="24"/>
                  <w:szCs w:val="24"/>
                </w:rPr>
                <w:fldChar w:fldCharType="end"/>
              </w:r>
            </w:hyperlink>
          </w:p>
          <w:p w14:paraId="1EA9457F" w14:textId="37ECC7AF" w:rsidR="00D20EE1" w:rsidRPr="00CD33D8" w:rsidRDefault="00D20EE1">
            <w:pPr>
              <w:pStyle w:val="TOC2"/>
              <w:rPr>
                <w:rFonts w:asciiTheme="minorHAnsi" w:eastAsiaTheme="minorEastAsia" w:hAnsiTheme="minorHAnsi"/>
                <w:noProof/>
                <w:kern w:val="2"/>
                <w:sz w:val="24"/>
                <w:szCs w:val="24"/>
                <w:lang w:eastAsia="en-NZ"/>
                <w14:ligatures w14:val="standardContextual"/>
              </w:rPr>
            </w:pPr>
            <w:hyperlink w:anchor="_Toc220924669" w:history="1">
              <w:r w:rsidRPr="000E029E">
                <w:rPr>
                  <w:rStyle w:val="Hyperlink"/>
                  <w:noProof/>
                  <w:sz w:val="24"/>
                  <w:szCs w:val="24"/>
                </w:rPr>
                <w:t>5.1</w:t>
              </w:r>
              <w:r w:rsidRPr="00CD33D8">
                <w:rPr>
                  <w:rFonts w:asciiTheme="minorHAnsi" w:eastAsiaTheme="minorEastAsia" w:hAnsiTheme="minorHAnsi"/>
                  <w:noProof/>
                  <w:kern w:val="2"/>
                  <w:sz w:val="24"/>
                  <w:szCs w:val="24"/>
                  <w:lang w:eastAsia="en-NZ"/>
                  <w14:ligatures w14:val="standardContextual"/>
                </w:rPr>
                <w:tab/>
              </w:r>
              <w:r w:rsidRPr="000E029E">
                <w:rPr>
                  <w:rStyle w:val="Hyperlink"/>
                  <w:noProof/>
                  <w:sz w:val="24"/>
                  <w:szCs w:val="24"/>
                </w:rPr>
                <w:t>NZIER’s computable general equilibrium model</w:t>
              </w:r>
              <w:r w:rsidRPr="000E029E">
                <w:rPr>
                  <w:noProof/>
                  <w:sz w:val="24"/>
                  <w:szCs w:val="24"/>
                </w:rPr>
                <w:tab/>
              </w:r>
              <w:r w:rsidRPr="000E029E">
                <w:rPr>
                  <w:noProof/>
                  <w:sz w:val="24"/>
                  <w:szCs w:val="24"/>
                </w:rPr>
                <w:fldChar w:fldCharType="begin"/>
              </w:r>
              <w:r w:rsidRPr="000E029E">
                <w:rPr>
                  <w:noProof/>
                  <w:sz w:val="24"/>
                  <w:szCs w:val="24"/>
                </w:rPr>
                <w:instrText xml:space="preserve"> PAGEREF _Toc220924669 \h </w:instrText>
              </w:r>
              <w:r w:rsidRPr="000E029E">
                <w:rPr>
                  <w:noProof/>
                  <w:sz w:val="24"/>
                  <w:szCs w:val="24"/>
                </w:rPr>
              </w:r>
              <w:r w:rsidRPr="000E029E">
                <w:rPr>
                  <w:noProof/>
                  <w:sz w:val="24"/>
                  <w:szCs w:val="24"/>
                </w:rPr>
                <w:fldChar w:fldCharType="separate"/>
              </w:r>
              <w:r w:rsidR="006E35CE">
                <w:rPr>
                  <w:noProof/>
                  <w:sz w:val="24"/>
                  <w:szCs w:val="24"/>
                </w:rPr>
                <w:t>14</w:t>
              </w:r>
              <w:r w:rsidRPr="000E029E">
                <w:rPr>
                  <w:noProof/>
                  <w:sz w:val="24"/>
                  <w:szCs w:val="24"/>
                </w:rPr>
                <w:fldChar w:fldCharType="end"/>
              </w:r>
            </w:hyperlink>
          </w:p>
          <w:p w14:paraId="5EDBE14B" w14:textId="7416AFA5" w:rsidR="00D20EE1" w:rsidRPr="00CD33D8" w:rsidRDefault="00D20EE1">
            <w:pPr>
              <w:pStyle w:val="TOC2"/>
              <w:rPr>
                <w:rFonts w:asciiTheme="minorHAnsi" w:eastAsiaTheme="minorEastAsia" w:hAnsiTheme="minorHAnsi"/>
                <w:noProof/>
                <w:kern w:val="2"/>
                <w:sz w:val="24"/>
                <w:szCs w:val="24"/>
                <w:lang w:eastAsia="en-NZ"/>
                <w14:ligatures w14:val="standardContextual"/>
              </w:rPr>
            </w:pPr>
            <w:hyperlink w:anchor="_Toc220924670" w:history="1">
              <w:r w:rsidRPr="000E029E">
                <w:rPr>
                  <w:rStyle w:val="Hyperlink"/>
                  <w:noProof/>
                  <w:sz w:val="24"/>
                  <w:szCs w:val="24"/>
                </w:rPr>
                <w:t>5.2</w:t>
              </w:r>
              <w:r w:rsidRPr="00CD33D8">
                <w:rPr>
                  <w:rFonts w:asciiTheme="minorHAnsi" w:eastAsiaTheme="minorEastAsia" w:hAnsiTheme="minorHAnsi"/>
                  <w:noProof/>
                  <w:kern w:val="2"/>
                  <w:sz w:val="24"/>
                  <w:szCs w:val="24"/>
                  <w:lang w:eastAsia="en-NZ"/>
                  <w14:ligatures w14:val="standardContextual"/>
                </w:rPr>
                <w:tab/>
              </w:r>
              <w:r w:rsidRPr="000E029E">
                <w:rPr>
                  <w:rStyle w:val="Hyperlink"/>
                  <w:noProof/>
                  <w:sz w:val="24"/>
                  <w:szCs w:val="24"/>
                </w:rPr>
                <w:t>How do they work?</w:t>
              </w:r>
              <w:r w:rsidRPr="000E029E">
                <w:rPr>
                  <w:noProof/>
                  <w:sz w:val="24"/>
                  <w:szCs w:val="24"/>
                </w:rPr>
                <w:tab/>
              </w:r>
              <w:r w:rsidRPr="000E029E">
                <w:rPr>
                  <w:noProof/>
                  <w:sz w:val="24"/>
                  <w:szCs w:val="24"/>
                </w:rPr>
                <w:fldChar w:fldCharType="begin"/>
              </w:r>
              <w:r w:rsidRPr="000E029E">
                <w:rPr>
                  <w:noProof/>
                  <w:sz w:val="24"/>
                  <w:szCs w:val="24"/>
                </w:rPr>
                <w:instrText xml:space="preserve"> PAGEREF _Toc220924670 \h </w:instrText>
              </w:r>
              <w:r w:rsidRPr="000E029E">
                <w:rPr>
                  <w:noProof/>
                  <w:sz w:val="24"/>
                  <w:szCs w:val="24"/>
                </w:rPr>
              </w:r>
              <w:r w:rsidRPr="000E029E">
                <w:rPr>
                  <w:noProof/>
                  <w:sz w:val="24"/>
                  <w:szCs w:val="24"/>
                </w:rPr>
                <w:fldChar w:fldCharType="separate"/>
              </w:r>
              <w:r w:rsidR="006E35CE">
                <w:rPr>
                  <w:noProof/>
                  <w:sz w:val="24"/>
                  <w:szCs w:val="24"/>
                </w:rPr>
                <w:t>14</w:t>
              </w:r>
              <w:r w:rsidRPr="000E029E">
                <w:rPr>
                  <w:noProof/>
                  <w:sz w:val="24"/>
                  <w:szCs w:val="24"/>
                </w:rPr>
                <w:fldChar w:fldCharType="end"/>
              </w:r>
            </w:hyperlink>
          </w:p>
          <w:p w14:paraId="345ED104" w14:textId="065CE217" w:rsidR="00D20EE1" w:rsidRPr="00CD33D8" w:rsidRDefault="00D20EE1">
            <w:pPr>
              <w:pStyle w:val="TOC2"/>
              <w:rPr>
                <w:rFonts w:asciiTheme="minorHAnsi" w:eastAsiaTheme="minorEastAsia" w:hAnsiTheme="minorHAnsi"/>
                <w:noProof/>
                <w:kern w:val="2"/>
                <w:sz w:val="24"/>
                <w:szCs w:val="24"/>
                <w:lang w:eastAsia="en-NZ"/>
                <w14:ligatures w14:val="standardContextual"/>
              </w:rPr>
            </w:pPr>
            <w:hyperlink w:anchor="_Toc220924671" w:history="1">
              <w:r w:rsidRPr="000E029E">
                <w:rPr>
                  <w:rStyle w:val="Hyperlink"/>
                  <w:noProof/>
                  <w:sz w:val="24"/>
                  <w:szCs w:val="24"/>
                </w:rPr>
                <w:t>5.3</w:t>
              </w:r>
              <w:r w:rsidRPr="00CD33D8">
                <w:rPr>
                  <w:rFonts w:asciiTheme="minorHAnsi" w:eastAsiaTheme="minorEastAsia" w:hAnsiTheme="minorHAnsi"/>
                  <w:noProof/>
                  <w:kern w:val="2"/>
                  <w:sz w:val="24"/>
                  <w:szCs w:val="24"/>
                  <w:lang w:eastAsia="en-NZ"/>
                  <w14:ligatures w14:val="standardContextual"/>
                </w:rPr>
                <w:tab/>
              </w:r>
              <w:r w:rsidRPr="000E029E">
                <w:rPr>
                  <w:rStyle w:val="Hyperlink"/>
                  <w:noProof/>
                  <w:sz w:val="24"/>
                  <w:szCs w:val="24"/>
                </w:rPr>
                <w:t>How do we shock the model?</w:t>
              </w:r>
              <w:r w:rsidRPr="000E029E">
                <w:rPr>
                  <w:noProof/>
                  <w:sz w:val="24"/>
                  <w:szCs w:val="24"/>
                </w:rPr>
                <w:tab/>
              </w:r>
              <w:r w:rsidRPr="000E029E">
                <w:rPr>
                  <w:noProof/>
                  <w:sz w:val="24"/>
                  <w:szCs w:val="24"/>
                </w:rPr>
                <w:fldChar w:fldCharType="begin"/>
              </w:r>
              <w:r w:rsidRPr="000E029E">
                <w:rPr>
                  <w:noProof/>
                  <w:sz w:val="24"/>
                  <w:szCs w:val="24"/>
                </w:rPr>
                <w:instrText xml:space="preserve"> PAGEREF _Toc220924671 \h </w:instrText>
              </w:r>
              <w:r w:rsidRPr="000E029E">
                <w:rPr>
                  <w:noProof/>
                  <w:sz w:val="24"/>
                  <w:szCs w:val="24"/>
                </w:rPr>
              </w:r>
              <w:r w:rsidRPr="000E029E">
                <w:rPr>
                  <w:noProof/>
                  <w:sz w:val="24"/>
                  <w:szCs w:val="24"/>
                </w:rPr>
                <w:fldChar w:fldCharType="separate"/>
              </w:r>
              <w:r w:rsidR="006E35CE">
                <w:rPr>
                  <w:noProof/>
                  <w:sz w:val="24"/>
                  <w:szCs w:val="24"/>
                </w:rPr>
                <w:t>15</w:t>
              </w:r>
              <w:r w:rsidRPr="000E029E">
                <w:rPr>
                  <w:noProof/>
                  <w:sz w:val="24"/>
                  <w:szCs w:val="24"/>
                </w:rPr>
                <w:fldChar w:fldCharType="end"/>
              </w:r>
            </w:hyperlink>
          </w:p>
          <w:p w14:paraId="348546F8" w14:textId="059D3C90" w:rsidR="00D20EE1" w:rsidRPr="00CD33D8" w:rsidRDefault="00D20EE1">
            <w:pPr>
              <w:pStyle w:val="TOC2"/>
              <w:rPr>
                <w:rFonts w:asciiTheme="minorHAnsi" w:eastAsiaTheme="minorEastAsia" w:hAnsiTheme="minorHAnsi"/>
                <w:noProof/>
                <w:kern w:val="2"/>
                <w:sz w:val="24"/>
                <w:szCs w:val="24"/>
                <w:lang w:eastAsia="en-NZ"/>
                <w14:ligatures w14:val="standardContextual"/>
              </w:rPr>
            </w:pPr>
            <w:hyperlink w:anchor="_Toc220924672" w:history="1">
              <w:r w:rsidRPr="000E029E">
                <w:rPr>
                  <w:rStyle w:val="Hyperlink"/>
                  <w:noProof/>
                  <w:sz w:val="24"/>
                  <w:szCs w:val="24"/>
                </w:rPr>
                <w:t>5.4</w:t>
              </w:r>
              <w:r w:rsidRPr="00CD33D8">
                <w:rPr>
                  <w:rFonts w:asciiTheme="minorHAnsi" w:eastAsiaTheme="minorEastAsia" w:hAnsiTheme="minorHAnsi"/>
                  <w:noProof/>
                  <w:kern w:val="2"/>
                  <w:sz w:val="24"/>
                  <w:szCs w:val="24"/>
                  <w:lang w:eastAsia="en-NZ"/>
                  <w14:ligatures w14:val="standardContextual"/>
                </w:rPr>
                <w:tab/>
              </w:r>
              <w:r w:rsidRPr="000E029E">
                <w:rPr>
                  <w:rStyle w:val="Hyperlink"/>
                  <w:noProof/>
                  <w:sz w:val="24"/>
                  <w:szCs w:val="24"/>
                </w:rPr>
                <w:t xml:space="preserve">What are </w:t>
              </w:r>
              <w:r w:rsidRPr="00CD33D8">
                <w:rPr>
                  <w:rStyle w:val="Hyperlink"/>
                  <w:noProof/>
                  <w:sz w:val="24"/>
                  <w:szCs w:val="24"/>
                </w:rPr>
                <w:t>our</w:t>
              </w:r>
              <w:r w:rsidRPr="000E029E">
                <w:rPr>
                  <w:rStyle w:val="Hyperlink"/>
                  <w:noProof/>
                  <w:sz w:val="24"/>
                  <w:szCs w:val="24"/>
                </w:rPr>
                <w:t xml:space="preserve"> closure conditions?</w:t>
              </w:r>
              <w:r w:rsidRPr="000E029E">
                <w:rPr>
                  <w:noProof/>
                  <w:sz w:val="24"/>
                  <w:szCs w:val="24"/>
                </w:rPr>
                <w:tab/>
              </w:r>
              <w:r w:rsidRPr="000E029E">
                <w:rPr>
                  <w:noProof/>
                  <w:sz w:val="24"/>
                  <w:szCs w:val="24"/>
                </w:rPr>
                <w:fldChar w:fldCharType="begin"/>
              </w:r>
              <w:r w:rsidRPr="000E029E">
                <w:rPr>
                  <w:noProof/>
                  <w:sz w:val="24"/>
                  <w:szCs w:val="24"/>
                </w:rPr>
                <w:instrText xml:space="preserve"> PAGEREF _Toc220924672 \h </w:instrText>
              </w:r>
              <w:r w:rsidRPr="000E029E">
                <w:rPr>
                  <w:noProof/>
                  <w:sz w:val="24"/>
                  <w:szCs w:val="24"/>
                </w:rPr>
              </w:r>
              <w:r w:rsidRPr="000E029E">
                <w:rPr>
                  <w:noProof/>
                  <w:sz w:val="24"/>
                  <w:szCs w:val="24"/>
                </w:rPr>
                <w:fldChar w:fldCharType="separate"/>
              </w:r>
              <w:r w:rsidR="006E35CE">
                <w:rPr>
                  <w:noProof/>
                  <w:sz w:val="24"/>
                  <w:szCs w:val="24"/>
                </w:rPr>
                <w:t>15</w:t>
              </w:r>
              <w:r w:rsidRPr="000E029E">
                <w:rPr>
                  <w:noProof/>
                  <w:sz w:val="24"/>
                  <w:szCs w:val="24"/>
                </w:rPr>
                <w:fldChar w:fldCharType="end"/>
              </w:r>
            </w:hyperlink>
          </w:p>
          <w:p w14:paraId="78005AA1" w14:textId="4F6A583C" w:rsidR="00D20EE1" w:rsidRPr="00CD33D8" w:rsidRDefault="00D20EE1">
            <w:pPr>
              <w:pStyle w:val="TOC1"/>
              <w:rPr>
                <w:rFonts w:asciiTheme="minorHAnsi" w:eastAsiaTheme="minorEastAsia" w:hAnsiTheme="minorHAnsi"/>
                <w:noProof/>
                <w:kern w:val="2"/>
                <w:sz w:val="24"/>
                <w:szCs w:val="24"/>
                <w:lang w:eastAsia="en-NZ"/>
                <w14:ligatures w14:val="standardContextual"/>
              </w:rPr>
            </w:pPr>
            <w:hyperlink w:anchor="_Toc220924673" w:history="1">
              <w:r w:rsidRPr="000E029E">
                <w:rPr>
                  <w:rStyle w:val="Hyperlink"/>
                  <w:noProof/>
                  <w:sz w:val="24"/>
                  <w:szCs w:val="24"/>
                </w:rPr>
                <w:t>6</w:t>
              </w:r>
              <w:r w:rsidRPr="00CD33D8">
                <w:rPr>
                  <w:rFonts w:asciiTheme="minorHAnsi" w:eastAsiaTheme="minorEastAsia" w:hAnsiTheme="minorHAnsi"/>
                  <w:noProof/>
                  <w:kern w:val="2"/>
                  <w:sz w:val="24"/>
                  <w:szCs w:val="24"/>
                  <w:lang w:eastAsia="en-NZ"/>
                  <w14:ligatures w14:val="standardContextual"/>
                </w:rPr>
                <w:tab/>
              </w:r>
              <w:r w:rsidRPr="000E029E">
                <w:rPr>
                  <w:rStyle w:val="Hyperlink"/>
                  <w:noProof/>
                  <w:sz w:val="24"/>
                  <w:szCs w:val="24"/>
                </w:rPr>
                <w:t>Analysis and results</w:t>
              </w:r>
              <w:r w:rsidRPr="000E029E">
                <w:rPr>
                  <w:noProof/>
                  <w:sz w:val="24"/>
                  <w:szCs w:val="24"/>
                </w:rPr>
                <w:tab/>
              </w:r>
              <w:r w:rsidRPr="000E029E">
                <w:rPr>
                  <w:noProof/>
                  <w:sz w:val="24"/>
                  <w:szCs w:val="24"/>
                </w:rPr>
                <w:fldChar w:fldCharType="begin"/>
              </w:r>
              <w:r w:rsidRPr="000E029E">
                <w:rPr>
                  <w:noProof/>
                  <w:sz w:val="24"/>
                  <w:szCs w:val="24"/>
                </w:rPr>
                <w:instrText xml:space="preserve"> PAGEREF _Toc220924673 \h </w:instrText>
              </w:r>
              <w:r w:rsidRPr="000E029E">
                <w:rPr>
                  <w:noProof/>
                  <w:sz w:val="24"/>
                  <w:szCs w:val="24"/>
                </w:rPr>
              </w:r>
              <w:r w:rsidRPr="000E029E">
                <w:rPr>
                  <w:noProof/>
                  <w:sz w:val="24"/>
                  <w:szCs w:val="24"/>
                </w:rPr>
                <w:fldChar w:fldCharType="separate"/>
              </w:r>
              <w:r w:rsidR="006E35CE">
                <w:rPr>
                  <w:noProof/>
                  <w:sz w:val="24"/>
                  <w:szCs w:val="24"/>
                </w:rPr>
                <w:t>17</w:t>
              </w:r>
              <w:r w:rsidRPr="000E029E">
                <w:rPr>
                  <w:noProof/>
                  <w:sz w:val="24"/>
                  <w:szCs w:val="24"/>
                </w:rPr>
                <w:fldChar w:fldCharType="end"/>
              </w:r>
            </w:hyperlink>
          </w:p>
          <w:p w14:paraId="40A1B7B7" w14:textId="365B678B" w:rsidR="00D20EE1" w:rsidRPr="00CD33D8" w:rsidRDefault="00D20EE1">
            <w:pPr>
              <w:pStyle w:val="TOC2"/>
              <w:rPr>
                <w:rFonts w:asciiTheme="minorHAnsi" w:eastAsiaTheme="minorEastAsia" w:hAnsiTheme="minorHAnsi"/>
                <w:noProof/>
                <w:kern w:val="2"/>
                <w:sz w:val="24"/>
                <w:szCs w:val="24"/>
                <w:lang w:eastAsia="en-NZ"/>
                <w14:ligatures w14:val="standardContextual"/>
              </w:rPr>
            </w:pPr>
            <w:hyperlink w:anchor="_Toc220924674" w:history="1">
              <w:r w:rsidRPr="000E029E">
                <w:rPr>
                  <w:rStyle w:val="Hyperlink"/>
                  <w:noProof/>
                  <w:sz w:val="24"/>
                  <w:szCs w:val="24"/>
                </w:rPr>
                <w:t>6.1</w:t>
              </w:r>
              <w:r w:rsidRPr="00CD33D8">
                <w:rPr>
                  <w:rFonts w:asciiTheme="minorHAnsi" w:eastAsiaTheme="minorEastAsia" w:hAnsiTheme="minorHAnsi"/>
                  <w:noProof/>
                  <w:kern w:val="2"/>
                  <w:sz w:val="24"/>
                  <w:szCs w:val="24"/>
                  <w:lang w:eastAsia="en-NZ"/>
                  <w14:ligatures w14:val="standardContextual"/>
                </w:rPr>
                <w:tab/>
              </w:r>
              <w:r w:rsidRPr="000E029E">
                <w:rPr>
                  <w:rStyle w:val="Hyperlink"/>
                  <w:noProof/>
                  <w:sz w:val="24"/>
                  <w:szCs w:val="24"/>
                </w:rPr>
                <w:t>What are the potential macroeconomic benefits of better employment and educational outcomes?</w:t>
              </w:r>
              <w:r w:rsidRPr="000E029E">
                <w:rPr>
                  <w:noProof/>
                  <w:sz w:val="24"/>
                  <w:szCs w:val="24"/>
                </w:rPr>
                <w:tab/>
              </w:r>
              <w:r w:rsidRPr="000E029E">
                <w:rPr>
                  <w:noProof/>
                  <w:sz w:val="24"/>
                  <w:szCs w:val="24"/>
                </w:rPr>
                <w:fldChar w:fldCharType="begin"/>
              </w:r>
              <w:r w:rsidRPr="000E029E">
                <w:rPr>
                  <w:noProof/>
                  <w:sz w:val="24"/>
                  <w:szCs w:val="24"/>
                </w:rPr>
                <w:instrText xml:space="preserve"> PAGEREF _Toc220924674 \h </w:instrText>
              </w:r>
              <w:r w:rsidRPr="000E029E">
                <w:rPr>
                  <w:noProof/>
                  <w:sz w:val="24"/>
                  <w:szCs w:val="24"/>
                </w:rPr>
              </w:r>
              <w:r w:rsidRPr="000E029E">
                <w:rPr>
                  <w:noProof/>
                  <w:sz w:val="24"/>
                  <w:szCs w:val="24"/>
                </w:rPr>
                <w:fldChar w:fldCharType="separate"/>
              </w:r>
              <w:r w:rsidR="006E35CE">
                <w:rPr>
                  <w:noProof/>
                  <w:sz w:val="24"/>
                  <w:szCs w:val="24"/>
                </w:rPr>
                <w:t>17</w:t>
              </w:r>
              <w:r w:rsidRPr="000E029E">
                <w:rPr>
                  <w:noProof/>
                  <w:sz w:val="24"/>
                  <w:szCs w:val="24"/>
                </w:rPr>
                <w:fldChar w:fldCharType="end"/>
              </w:r>
            </w:hyperlink>
          </w:p>
          <w:p w14:paraId="1711D09C" w14:textId="747DB201" w:rsidR="00D20EE1" w:rsidRPr="00CD33D8" w:rsidRDefault="00D20EE1">
            <w:pPr>
              <w:pStyle w:val="TOC2"/>
              <w:rPr>
                <w:rFonts w:asciiTheme="minorHAnsi" w:eastAsiaTheme="minorEastAsia" w:hAnsiTheme="minorHAnsi"/>
                <w:noProof/>
                <w:kern w:val="2"/>
                <w:sz w:val="24"/>
                <w:szCs w:val="24"/>
                <w:lang w:eastAsia="en-NZ"/>
                <w14:ligatures w14:val="standardContextual"/>
              </w:rPr>
            </w:pPr>
            <w:hyperlink w:anchor="_Toc220924675" w:history="1">
              <w:r w:rsidRPr="000E029E">
                <w:rPr>
                  <w:rStyle w:val="Hyperlink"/>
                  <w:noProof/>
                  <w:sz w:val="24"/>
                  <w:szCs w:val="24"/>
                </w:rPr>
                <w:t>6.2</w:t>
              </w:r>
              <w:r w:rsidRPr="00CD33D8">
                <w:rPr>
                  <w:rFonts w:asciiTheme="minorHAnsi" w:eastAsiaTheme="minorEastAsia" w:hAnsiTheme="minorHAnsi"/>
                  <w:noProof/>
                  <w:kern w:val="2"/>
                  <w:sz w:val="24"/>
                  <w:szCs w:val="24"/>
                  <w:lang w:eastAsia="en-NZ"/>
                  <w14:ligatures w14:val="standardContextual"/>
                </w:rPr>
                <w:tab/>
              </w:r>
              <w:r w:rsidRPr="000E029E">
                <w:rPr>
                  <w:rStyle w:val="Hyperlink"/>
                  <w:noProof/>
                  <w:sz w:val="24"/>
                  <w:szCs w:val="24"/>
                </w:rPr>
                <w:t>Decreasing unemployment among disabled people</w:t>
              </w:r>
              <w:r w:rsidRPr="000E029E">
                <w:rPr>
                  <w:noProof/>
                  <w:sz w:val="24"/>
                  <w:szCs w:val="24"/>
                </w:rPr>
                <w:tab/>
              </w:r>
              <w:r w:rsidRPr="000E029E">
                <w:rPr>
                  <w:noProof/>
                  <w:sz w:val="24"/>
                  <w:szCs w:val="24"/>
                </w:rPr>
                <w:fldChar w:fldCharType="begin"/>
              </w:r>
              <w:r w:rsidRPr="000E029E">
                <w:rPr>
                  <w:noProof/>
                  <w:sz w:val="24"/>
                  <w:szCs w:val="24"/>
                </w:rPr>
                <w:instrText xml:space="preserve"> PAGEREF _Toc220924675 \h </w:instrText>
              </w:r>
              <w:r w:rsidRPr="000E029E">
                <w:rPr>
                  <w:noProof/>
                  <w:sz w:val="24"/>
                  <w:szCs w:val="24"/>
                </w:rPr>
              </w:r>
              <w:r w:rsidRPr="000E029E">
                <w:rPr>
                  <w:noProof/>
                  <w:sz w:val="24"/>
                  <w:szCs w:val="24"/>
                </w:rPr>
                <w:fldChar w:fldCharType="separate"/>
              </w:r>
              <w:r w:rsidR="006E35CE">
                <w:rPr>
                  <w:noProof/>
                  <w:sz w:val="24"/>
                  <w:szCs w:val="24"/>
                </w:rPr>
                <w:t>17</w:t>
              </w:r>
              <w:r w:rsidRPr="000E029E">
                <w:rPr>
                  <w:noProof/>
                  <w:sz w:val="24"/>
                  <w:szCs w:val="24"/>
                </w:rPr>
                <w:fldChar w:fldCharType="end"/>
              </w:r>
            </w:hyperlink>
          </w:p>
          <w:p w14:paraId="217C9E15" w14:textId="14A46FBF" w:rsidR="00D20EE1" w:rsidRPr="00CD33D8" w:rsidRDefault="00D20EE1">
            <w:pPr>
              <w:pStyle w:val="TOC2"/>
              <w:rPr>
                <w:rFonts w:asciiTheme="minorHAnsi" w:eastAsiaTheme="minorEastAsia" w:hAnsiTheme="minorHAnsi"/>
                <w:noProof/>
                <w:kern w:val="2"/>
                <w:sz w:val="24"/>
                <w:szCs w:val="24"/>
                <w:lang w:eastAsia="en-NZ"/>
                <w14:ligatures w14:val="standardContextual"/>
              </w:rPr>
            </w:pPr>
            <w:hyperlink w:anchor="_Toc220924676" w:history="1">
              <w:r w:rsidRPr="00893FFA">
                <w:rPr>
                  <w:rStyle w:val="Hyperlink"/>
                  <w:noProof/>
                  <w:sz w:val="24"/>
                  <w:szCs w:val="24"/>
                </w:rPr>
                <w:t>6.3</w:t>
              </w:r>
              <w:r w:rsidRPr="00CD33D8">
                <w:rPr>
                  <w:rFonts w:asciiTheme="minorHAnsi" w:eastAsiaTheme="minorEastAsia" w:hAnsiTheme="minorHAnsi"/>
                  <w:noProof/>
                  <w:kern w:val="2"/>
                  <w:sz w:val="24"/>
                  <w:szCs w:val="24"/>
                  <w:lang w:eastAsia="en-NZ"/>
                  <w14:ligatures w14:val="standardContextual"/>
                </w:rPr>
                <w:tab/>
              </w:r>
              <w:r w:rsidRPr="00893FFA">
                <w:rPr>
                  <w:rStyle w:val="Hyperlink"/>
                  <w:noProof/>
                  <w:sz w:val="24"/>
                  <w:szCs w:val="24"/>
                </w:rPr>
                <w:t>The economic benefits of better educational outcomes among disabled people</w:t>
              </w:r>
              <w:r w:rsidRPr="00893FFA">
                <w:rPr>
                  <w:noProof/>
                  <w:sz w:val="24"/>
                  <w:szCs w:val="24"/>
                </w:rPr>
                <w:tab/>
              </w:r>
              <w:r w:rsidRPr="00893FFA">
                <w:rPr>
                  <w:noProof/>
                  <w:sz w:val="24"/>
                  <w:szCs w:val="24"/>
                </w:rPr>
                <w:fldChar w:fldCharType="begin"/>
              </w:r>
              <w:r w:rsidRPr="00893FFA">
                <w:rPr>
                  <w:noProof/>
                  <w:sz w:val="24"/>
                  <w:szCs w:val="24"/>
                </w:rPr>
                <w:instrText xml:space="preserve"> PAGEREF _Toc220924676 \h </w:instrText>
              </w:r>
              <w:r w:rsidRPr="00893FFA">
                <w:rPr>
                  <w:noProof/>
                  <w:sz w:val="24"/>
                  <w:szCs w:val="24"/>
                </w:rPr>
              </w:r>
              <w:r w:rsidRPr="00893FFA">
                <w:rPr>
                  <w:noProof/>
                  <w:sz w:val="24"/>
                  <w:szCs w:val="24"/>
                </w:rPr>
                <w:fldChar w:fldCharType="separate"/>
              </w:r>
              <w:r w:rsidR="006E35CE">
                <w:rPr>
                  <w:noProof/>
                  <w:sz w:val="24"/>
                  <w:szCs w:val="24"/>
                </w:rPr>
                <w:t>18</w:t>
              </w:r>
              <w:r w:rsidRPr="00893FFA">
                <w:rPr>
                  <w:noProof/>
                  <w:sz w:val="24"/>
                  <w:szCs w:val="24"/>
                </w:rPr>
                <w:fldChar w:fldCharType="end"/>
              </w:r>
            </w:hyperlink>
          </w:p>
          <w:p w14:paraId="44C941F4" w14:textId="6413F6AA" w:rsidR="00D20EE1" w:rsidRPr="00CD33D8" w:rsidRDefault="00D20EE1">
            <w:pPr>
              <w:pStyle w:val="TOC1"/>
              <w:rPr>
                <w:rFonts w:asciiTheme="minorHAnsi" w:eastAsiaTheme="minorEastAsia" w:hAnsiTheme="minorHAnsi"/>
                <w:noProof/>
                <w:kern w:val="2"/>
                <w:sz w:val="24"/>
                <w:szCs w:val="24"/>
                <w:lang w:eastAsia="en-NZ"/>
                <w14:ligatures w14:val="standardContextual"/>
              </w:rPr>
            </w:pPr>
            <w:hyperlink w:anchor="_Toc220924677" w:history="1">
              <w:r w:rsidRPr="00C86B38">
                <w:rPr>
                  <w:rStyle w:val="Hyperlink"/>
                  <w:noProof/>
                  <w:sz w:val="24"/>
                  <w:szCs w:val="24"/>
                </w:rPr>
                <w:t>7</w:t>
              </w:r>
              <w:r w:rsidRPr="00CD33D8">
                <w:rPr>
                  <w:rFonts w:asciiTheme="minorHAnsi" w:eastAsiaTheme="minorEastAsia" w:hAnsiTheme="minorHAnsi"/>
                  <w:noProof/>
                  <w:kern w:val="2"/>
                  <w:sz w:val="24"/>
                  <w:szCs w:val="24"/>
                  <w:lang w:eastAsia="en-NZ"/>
                  <w14:ligatures w14:val="standardContextual"/>
                </w:rPr>
                <w:tab/>
              </w:r>
              <w:r w:rsidRPr="00C86B38">
                <w:rPr>
                  <w:rStyle w:val="Hyperlink"/>
                  <w:noProof/>
                  <w:sz w:val="24"/>
                  <w:szCs w:val="24"/>
                </w:rPr>
                <w:t>Bring it all together</w:t>
              </w:r>
              <w:r w:rsidRPr="00C86B38">
                <w:rPr>
                  <w:noProof/>
                  <w:sz w:val="24"/>
                  <w:szCs w:val="24"/>
                </w:rPr>
                <w:tab/>
              </w:r>
              <w:r w:rsidRPr="00C86B38">
                <w:rPr>
                  <w:noProof/>
                  <w:sz w:val="24"/>
                  <w:szCs w:val="24"/>
                </w:rPr>
                <w:fldChar w:fldCharType="begin"/>
              </w:r>
              <w:r w:rsidRPr="00C86B38">
                <w:rPr>
                  <w:noProof/>
                  <w:sz w:val="24"/>
                  <w:szCs w:val="24"/>
                </w:rPr>
                <w:instrText xml:space="preserve"> PAGEREF _Toc220924677 \h </w:instrText>
              </w:r>
              <w:r w:rsidRPr="00C86B38">
                <w:rPr>
                  <w:noProof/>
                  <w:sz w:val="24"/>
                  <w:szCs w:val="24"/>
                </w:rPr>
              </w:r>
              <w:r w:rsidRPr="00C86B38">
                <w:rPr>
                  <w:noProof/>
                  <w:sz w:val="24"/>
                  <w:szCs w:val="24"/>
                </w:rPr>
                <w:fldChar w:fldCharType="separate"/>
              </w:r>
              <w:r w:rsidR="006E35CE">
                <w:rPr>
                  <w:noProof/>
                  <w:sz w:val="24"/>
                  <w:szCs w:val="24"/>
                </w:rPr>
                <w:t>20</w:t>
              </w:r>
              <w:r w:rsidRPr="00C86B38">
                <w:rPr>
                  <w:noProof/>
                  <w:sz w:val="24"/>
                  <w:szCs w:val="24"/>
                </w:rPr>
                <w:fldChar w:fldCharType="end"/>
              </w:r>
            </w:hyperlink>
          </w:p>
          <w:p w14:paraId="77F3FB90" w14:textId="05161074" w:rsidR="00D20EE1" w:rsidRPr="00CD33D8" w:rsidRDefault="00D20EE1">
            <w:pPr>
              <w:pStyle w:val="TOC2"/>
              <w:rPr>
                <w:rFonts w:asciiTheme="minorHAnsi" w:eastAsiaTheme="minorEastAsia" w:hAnsiTheme="minorHAnsi"/>
                <w:noProof/>
                <w:kern w:val="2"/>
                <w:sz w:val="24"/>
                <w:szCs w:val="24"/>
                <w:lang w:eastAsia="en-NZ"/>
                <w14:ligatures w14:val="standardContextual"/>
              </w:rPr>
            </w:pPr>
            <w:hyperlink w:anchor="_Toc220924678" w:history="1">
              <w:r w:rsidRPr="00C86B38">
                <w:rPr>
                  <w:rStyle w:val="Hyperlink"/>
                  <w:noProof/>
                  <w:sz w:val="24"/>
                  <w:szCs w:val="24"/>
                  <w:lang w:eastAsia="en-NZ"/>
                </w:rPr>
                <w:t>7.1</w:t>
              </w:r>
              <w:r w:rsidRPr="00CD33D8">
                <w:rPr>
                  <w:rFonts w:asciiTheme="minorHAnsi" w:eastAsiaTheme="minorEastAsia" w:hAnsiTheme="minorHAnsi"/>
                  <w:noProof/>
                  <w:kern w:val="2"/>
                  <w:sz w:val="24"/>
                  <w:szCs w:val="24"/>
                  <w:lang w:eastAsia="en-NZ"/>
                  <w14:ligatures w14:val="standardContextual"/>
                </w:rPr>
                <w:tab/>
              </w:r>
              <w:r w:rsidRPr="00C86B38">
                <w:rPr>
                  <w:rStyle w:val="Hyperlink"/>
                  <w:noProof/>
                  <w:sz w:val="24"/>
                  <w:szCs w:val="24"/>
                  <w:lang w:eastAsia="en-NZ"/>
                </w:rPr>
                <w:t>Implications for current policy settings</w:t>
              </w:r>
              <w:r w:rsidRPr="00C86B38">
                <w:rPr>
                  <w:noProof/>
                  <w:sz w:val="24"/>
                  <w:szCs w:val="24"/>
                </w:rPr>
                <w:tab/>
              </w:r>
              <w:r w:rsidRPr="00C86B38">
                <w:rPr>
                  <w:noProof/>
                  <w:sz w:val="24"/>
                  <w:szCs w:val="24"/>
                </w:rPr>
                <w:fldChar w:fldCharType="begin"/>
              </w:r>
              <w:r w:rsidRPr="00C86B38">
                <w:rPr>
                  <w:noProof/>
                  <w:sz w:val="24"/>
                  <w:szCs w:val="24"/>
                </w:rPr>
                <w:instrText xml:space="preserve"> PAGEREF _Toc220924678 \h </w:instrText>
              </w:r>
              <w:r w:rsidRPr="00C86B38">
                <w:rPr>
                  <w:noProof/>
                  <w:sz w:val="24"/>
                  <w:szCs w:val="24"/>
                </w:rPr>
              </w:r>
              <w:r w:rsidRPr="00C86B38">
                <w:rPr>
                  <w:noProof/>
                  <w:sz w:val="24"/>
                  <w:szCs w:val="24"/>
                </w:rPr>
                <w:fldChar w:fldCharType="separate"/>
              </w:r>
              <w:r w:rsidR="006E35CE">
                <w:rPr>
                  <w:noProof/>
                  <w:sz w:val="24"/>
                  <w:szCs w:val="24"/>
                </w:rPr>
                <w:t>20</w:t>
              </w:r>
              <w:r w:rsidRPr="00C86B38">
                <w:rPr>
                  <w:noProof/>
                  <w:sz w:val="24"/>
                  <w:szCs w:val="24"/>
                </w:rPr>
                <w:fldChar w:fldCharType="end"/>
              </w:r>
            </w:hyperlink>
          </w:p>
          <w:p w14:paraId="6606BFEB" w14:textId="23B7770E" w:rsidR="00D20EE1" w:rsidRPr="00CD33D8" w:rsidRDefault="00D20EE1">
            <w:pPr>
              <w:pStyle w:val="TOC2"/>
              <w:rPr>
                <w:rFonts w:asciiTheme="minorHAnsi" w:eastAsiaTheme="minorEastAsia" w:hAnsiTheme="minorHAnsi"/>
                <w:noProof/>
                <w:kern w:val="2"/>
                <w:sz w:val="24"/>
                <w:szCs w:val="24"/>
                <w:lang w:eastAsia="en-NZ"/>
                <w14:ligatures w14:val="standardContextual"/>
              </w:rPr>
            </w:pPr>
            <w:hyperlink w:anchor="_Toc220924679" w:history="1">
              <w:r w:rsidRPr="00C86B38">
                <w:rPr>
                  <w:rStyle w:val="Hyperlink"/>
                  <w:noProof/>
                  <w:sz w:val="24"/>
                  <w:szCs w:val="24"/>
                </w:rPr>
                <w:t>7.2</w:t>
              </w:r>
              <w:r w:rsidRPr="00CD33D8">
                <w:rPr>
                  <w:rFonts w:asciiTheme="minorHAnsi" w:eastAsiaTheme="minorEastAsia" w:hAnsiTheme="minorHAnsi"/>
                  <w:noProof/>
                  <w:kern w:val="2"/>
                  <w:sz w:val="24"/>
                  <w:szCs w:val="24"/>
                  <w:lang w:eastAsia="en-NZ"/>
                  <w14:ligatures w14:val="standardContextual"/>
                </w:rPr>
                <w:tab/>
              </w:r>
              <w:r w:rsidRPr="00C86B38">
                <w:rPr>
                  <w:rStyle w:val="Hyperlink"/>
                  <w:noProof/>
                  <w:sz w:val="24"/>
                  <w:szCs w:val="24"/>
                </w:rPr>
                <w:t>Opportunities for further research</w:t>
              </w:r>
              <w:r w:rsidRPr="00C86B38">
                <w:rPr>
                  <w:noProof/>
                  <w:sz w:val="24"/>
                  <w:szCs w:val="24"/>
                </w:rPr>
                <w:tab/>
              </w:r>
              <w:r w:rsidRPr="00C86B38">
                <w:rPr>
                  <w:noProof/>
                  <w:sz w:val="24"/>
                  <w:szCs w:val="24"/>
                </w:rPr>
                <w:fldChar w:fldCharType="begin"/>
              </w:r>
              <w:r w:rsidRPr="00C86B38">
                <w:rPr>
                  <w:noProof/>
                  <w:sz w:val="24"/>
                  <w:szCs w:val="24"/>
                </w:rPr>
                <w:instrText xml:space="preserve"> PAGEREF _Toc220924679 \h </w:instrText>
              </w:r>
              <w:r w:rsidRPr="00C86B38">
                <w:rPr>
                  <w:noProof/>
                  <w:sz w:val="24"/>
                  <w:szCs w:val="24"/>
                </w:rPr>
              </w:r>
              <w:r w:rsidRPr="00C86B38">
                <w:rPr>
                  <w:noProof/>
                  <w:sz w:val="24"/>
                  <w:szCs w:val="24"/>
                </w:rPr>
                <w:fldChar w:fldCharType="separate"/>
              </w:r>
              <w:r w:rsidR="006E35CE">
                <w:rPr>
                  <w:noProof/>
                  <w:sz w:val="24"/>
                  <w:szCs w:val="24"/>
                </w:rPr>
                <w:t>21</w:t>
              </w:r>
              <w:r w:rsidRPr="00C86B38">
                <w:rPr>
                  <w:noProof/>
                  <w:sz w:val="24"/>
                  <w:szCs w:val="24"/>
                </w:rPr>
                <w:fldChar w:fldCharType="end"/>
              </w:r>
            </w:hyperlink>
          </w:p>
          <w:p w14:paraId="2BFD76E9" w14:textId="6D3B3CBC" w:rsidR="00D20EE1" w:rsidRPr="00CD33D8" w:rsidRDefault="00D20EE1">
            <w:pPr>
              <w:pStyle w:val="TOC1"/>
              <w:rPr>
                <w:rFonts w:asciiTheme="minorHAnsi" w:eastAsiaTheme="minorEastAsia" w:hAnsiTheme="minorHAnsi"/>
                <w:noProof/>
                <w:kern w:val="2"/>
                <w:sz w:val="24"/>
                <w:szCs w:val="24"/>
                <w:lang w:eastAsia="en-NZ"/>
                <w14:ligatures w14:val="standardContextual"/>
              </w:rPr>
            </w:pPr>
            <w:hyperlink w:anchor="_Toc220924680" w:history="1">
              <w:r w:rsidRPr="00C86B38">
                <w:rPr>
                  <w:rStyle w:val="Hyperlink"/>
                  <w:noProof/>
                  <w:sz w:val="24"/>
                  <w:szCs w:val="24"/>
                </w:rPr>
                <w:t>8</w:t>
              </w:r>
              <w:r w:rsidRPr="00CD33D8">
                <w:rPr>
                  <w:rFonts w:asciiTheme="minorHAnsi" w:eastAsiaTheme="minorEastAsia" w:hAnsiTheme="minorHAnsi"/>
                  <w:noProof/>
                  <w:kern w:val="2"/>
                  <w:sz w:val="24"/>
                  <w:szCs w:val="24"/>
                  <w:lang w:eastAsia="en-NZ"/>
                  <w14:ligatures w14:val="standardContextual"/>
                </w:rPr>
                <w:tab/>
              </w:r>
              <w:r w:rsidRPr="00C86B38">
                <w:rPr>
                  <w:rStyle w:val="Hyperlink"/>
                  <w:noProof/>
                  <w:sz w:val="24"/>
                  <w:szCs w:val="24"/>
                </w:rPr>
                <w:t>References</w:t>
              </w:r>
              <w:r w:rsidRPr="00C86B38">
                <w:rPr>
                  <w:noProof/>
                  <w:sz w:val="24"/>
                  <w:szCs w:val="24"/>
                </w:rPr>
                <w:tab/>
              </w:r>
              <w:r w:rsidRPr="00C86B38">
                <w:rPr>
                  <w:noProof/>
                  <w:sz w:val="24"/>
                  <w:szCs w:val="24"/>
                </w:rPr>
                <w:fldChar w:fldCharType="begin"/>
              </w:r>
              <w:r w:rsidRPr="00C86B38">
                <w:rPr>
                  <w:noProof/>
                  <w:sz w:val="24"/>
                  <w:szCs w:val="24"/>
                </w:rPr>
                <w:instrText xml:space="preserve"> PAGEREF _Toc220924680 \h </w:instrText>
              </w:r>
              <w:r w:rsidRPr="00C86B38">
                <w:rPr>
                  <w:noProof/>
                  <w:sz w:val="24"/>
                  <w:szCs w:val="24"/>
                </w:rPr>
              </w:r>
              <w:r w:rsidRPr="00C86B38">
                <w:rPr>
                  <w:noProof/>
                  <w:sz w:val="24"/>
                  <w:szCs w:val="24"/>
                </w:rPr>
                <w:fldChar w:fldCharType="separate"/>
              </w:r>
              <w:r w:rsidR="006E35CE">
                <w:rPr>
                  <w:noProof/>
                  <w:sz w:val="24"/>
                  <w:szCs w:val="24"/>
                </w:rPr>
                <w:t>23</w:t>
              </w:r>
              <w:r w:rsidRPr="00C86B38">
                <w:rPr>
                  <w:noProof/>
                  <w:sz w:val="24"/>
                  <w:szCs w:val="24"/>
                </w:rPr>
                <w:fldChar w:fldCharType="end"/>
              </w:r>
            </w:hyperlink>
          </w:p>
          <w:p w14:paraId="6924A409" w14:textId="3425095D" w:rsidR="00DC354C" w:rsidRPr="009A7318" w:rsidRDefault="00DC354C" w:rsidP="00DD5977">
            <w:pPr>
              <w:pStyle w:val="USWhiteSpace"/>
              <w:rPr>
                <w:sz w:val="24"/>
                <w:szCs w:val="24"/>
              </w:rPr>
            </w:pPr>
            <w:r w:rsidRPr="00CD33D8">
              <w:rPr>
                <w:sz w:val="24"/>
                <w:szCs w:val="24"/>
              </w:rPr>
              <w:fldChar w:fldCharType="end"/>
            </w:r>
          </w:p>
        </w:tc>
      </w:tr>
      <w:tr w:rsidR="00DD5977" w14:paraId="22FA035A" w14:textId="77777777" w:rsidTr="001C0653">
        <w:tc>
          <w:tcPr>
            <w:tcW w:w="9393" w:type="dxa"/>
            <w:tcBorders>
              <w:top w:val="nil"/>
              <w:left w:val="nil"/>
              <w:bottom w:val="nil"/>
              <w:right w:val="nil"/>
            </w:tcBorders>
          </w:tcPr>
          <w:p w14:paraId="03565B52" w14:textId="76D7FB89" w:rsidR="00DD5977" w:rsidRPr="009A7318" w:rsidRDefault="00DD5977" w:rsidP="001A3EDE">
            <w:pPr>
              <w:pStyle w:val="HeadingContents-TablesFigures"/>
              <w:spacing w:before="240"/>
              <w:rPr>
                <w:sz w:val="24"/>
                <w:szCs w:val="24"/>
              </w:rPr>
            </w:pPr>
            <w:r w:rsidRPr="009A7318">
              <w:rPr>
                <w:sz w:val="24"/>
                <w:szCs w:val="24"/>
              </w:rPr>
              <w:t>Figures</w:t>
            </w:r>
          </w:p>
        </w:tc>
      </w:tr>
      <w:tr w:rsidR="00F8197C" w14:paraId="1F7CC8EA" w14:textId="77777777" w:rsidTr="001C0653">
        <w:tc>
          <w:tcPr>
            <w:tcW w:w="9393" w:type="dxa"/>
            <w:tcBorders>
              <w:top w:val="nil"/>
              <w:left w:val="nil"/>
              <w:bottom w:val="nil"/>
              <w:right w:val="nil"/>
            </w:tcBorders>
          </w:tcPr>
          <w:p w14:paraId="52E1AFBD" w14:textId="56B2C9FD" w:rsidR="00CD33D8" w:rsidRPr="00CD33D8" w:rsidRDefault="00F8197C">
            <w:pPr>
              <w:pStyle w:val="TableofFigures"/>
              <w:rPr>
                <w:rFonts w:asciiTheme="minorHAnsi" w:eastAsiaTheme="minorEastAsia" w:hAnsiTheme="minorHAnsi"/>
                <w:noProof/>
                <w:kern w:val="2"/>
                <w:sz w:val="24"/>
                <w:szCs w:val="24"/>
                <w:lang w:eastAsia="en-NZ"/>
                <w14:ligatures w14:val="standardContextual"/>
              </w:rPr>
            </w:pPr>
            <w:r w:rsidRPr="009A7318">
              <w:rPr>
                <w:sz w:val="24"/>
                <w:szCs w:val="24"/>
              </w:rPr>
              <w:fldChar w:fldCharType="begin"/>
            </w:r>
            <w:r w:rsidRPr="009A7318">
              <w:rPr>
                <w:sz w:val="24"/>
                <w:szCs w:val="24"/>
              </w:rPr>
              <w:instrText xml:space="preserve"> TOC </w:instrText>
            </w:r>
            <w:r w:rsidR="007C21B3" w:rsidRPr="009A7318">
              <w:rPr>
                <w:noProof/>
                <w:sz w:val="24"/>
                <w:szCs w:val="24"/>
                <w:lang w:val="en-US"/>
              </w:rPr>
              <w:instrText xml:space="preserve">\h \z </w:instrText>
            </w:r>
            <w:r w:rsidRPr="009A7318">
              <w:rPr>
                <w:sz w:val="24"/>
                <w:szCs w:val="24"/>
              </w:rPr>
              <w:instrText xml:space="preserve">\c "Figure" </w:instrText>
            </w:r>
            <w:r w:rsidRPr="009A7318">
              <w:rPr>
                <w:sz w:val="24"/>
                <w:szCs w:val="24"/>
              </w:rPr>
              <w:fldChar w:fldCharType="separate"/>
            </w:r>
            <w:hyperlink w:anchor="_Toc220924800" w:history="1">
              <w:r w:rsidR="00CD33D8" w:rsidRPr="00C86B38">
                <w:rPr>
                  <w:rStyle w:val="Hyperlink"/>
                  <w:noProof/>
                  <w:sz w:val="24"/>
                  <w:szCs w:val="24"/>
                </w:rPr>
                <w:t>Figure 1 Comparing labour market outcomes</w:t>
              </w:r>
              <w:r w:rsidR="00CD33D8" w:rsidRPr="00C86B38">
                <w:rPr>
                  <w:noProof/>
                  <w:webHidden/>
                  <w:sz w:val="24"/>
                  <w:szCs w:val="24"/>
                </w:rPr>
                <w:tab/>
              </w:r>
              <w:r w:rsidR="00CD33D8" w:rsidRPr="00C86B38">
                <w:rPr>
                  <w:noProof/>
                  <w:webHidden/>
                  <w:sz w:val="24"/>
                  <w:szCs w:val="24"/>
                </w:rPr>
                <w:fldChar w:fldCharType="begin"/>
              </w:r>
              <w:r w:rsidR="00CD33D8" w:rsidRPr="00C86B38">
                <w:rPr>
                  <w:noProof/>
                  <w:webHidden/>
                  <w:sz w:val="24"/>
                  <w:szCs w:val="24"/>
                </w:rPr>
                <w:instrText xml:space="preserve"> PAGEREF _Toc220924800 \h </w:instrText>
              </w:r>
              <w:r w:rsidR="00CD33D8" w:rsidRPr="00C86B38">
                <w:rPr>
                  <w:noProof/>
                  <w:webHidden/>
                  <w:sz w:val="24"/>
                  <w:szCs w:val="24"/>
                </w:rPr>
              </w:r>
              <w:r w:rsidR="00CD33D8" w:rsidRPr="00C86B38">
                <w:rPr>
                  <w:noProof/>
                  <w:webHidden/>
                  <w:sz w:val="24"/>
                  <w:szCs w:val="24"/>
                </w:rPr>
                <w:fldChar w:fldCharType="separate"/>
              </w:r>
              <w:r w:rsidR="006E35CE">
                <w:rPr>
                  <w:noProof/>
                  <w:webHidden/>
                  <w:sz w:val="24"/>
                  <w:szCs w:val="24"/>
                </w:rPr>
                <w:t>4</w:t>
              </w:r>
              <w:r w:rsidR="00CD33D8" w:rsidRPr="00C86B38">
                <w:rPr>
                  <w:noProof/>
                  <w:webHidden/>
                  <w:sz w:val="24"/>
                  <w:szCs w:val="24"/>
                </w:rPr>
                <w:fldChar w:fldCharType="end"/>
              </w:r>
            </w:hyperlink>
          </w:p>
          <w:p w14:paraId="371FC7F8" w14:textId="0FB863C0" w:rsidR="00CD33D8" w:rsidRPr="00CD33D8" w:rsidRDefault="00CD33D8">
            <w:pPr>
              <w:pStyle w:val="TableofFigures"/>
              <w:rPr>
                <w:rFonts w:asciiTheme="minorHAnsi" w:eastAsiaTheme="minorEastAsia" w:hAnsiTheme="minorHAnsi"/>
                <w:noProof/>
                <w:kern w:val="2"/>
                <w:sz w:val="24"/>
                <w:szCs w:val="24"/>
                <w:lang w:eastAsia="en-NZ"/>
                <w14:ligatures w14:val="standardContextual"/>
              </w:rPr>
            </w:pPr>
            <w:hyperlink w:anchor="_Toc220924801" w:history="1">
              <w:r w:rsidRPr="00C86B38">
                <w:rPr>
                  <w:rStyle w:val="Hyperlink"/>
                  <w:noProof/>
                  <w:sz w:val="24"/>
                  <w:szCs w:val="24"/>
                </w:rPr>
                <w:t>Figure 2 Comparing unemployment rates over time</w:t>
              </w:r>
              <w:r w:rsidRPr="00C86B38">
                <w:rPr>
                  <w:noProof/>
                  <w:webHidden/>
                  <w:sz w:val="24"/>
                  <w:szCs w:val="24"/>
                </w:rPr>
                <w:tab/>
              </w:r>
              <w:r w:rsidRPr="00C86B38">
                <w:rPr>
                  <w:noProof/>
                  <w:webHidden/>
                  <w:sz w:val="24"/>
                  <w:szCs w:val="24"/>
                </w:rPr>
                <w:fldChar w:fldCharType="begin"/>
              </w:r>
              <w:r w:rsidRPr="00C86B38">
                <w:rPr>
                  <w:noProof/>
                  <w:webHidden/>
                  <w:sz w:val="24"/>
                  <w:szCs w:val="24"/>
                </w:rPr>
                <w:instrText xml:space="preserve"> PAGEREF _Toc220924801 \h </w:instrText>
              </w:r>
              <w:r w:rsidRPr="00C86B38">
                <w:rPr>
                  <w:noProof/>
                  <w:webHidden/>
                  <w:sz w:val="24"/>
                  <w:szCs w:val="24"/>
                </w:rPr>
              </w:r>
              <w:r w:rsidRPr="00C86B38">
                <w:rPr>
                  <w:noProof/>
                  <w:webHidden/>
                  <w:sz w:val="24"/>
                  <w:szCs w:val="24"/>
                </w:rPr>
                <w:fldChar w:fldCharType="separate"/>
              </w:r>
              <w:r w:rsidR="006E35CE">
                <w:rPr>
                  <w:noProof/>
                  <w:webHidden/>
                  <w:sz w:val="24"/>
                  <w:szCs w:val="24"/>
                </w:rPr>
                <w:t>5</w:t>
              </w:r>
              <w:r w:rsidRPr="00C86B38">
                <w:rPr>
                  <w:noProof/>
                  <w:webHidden/>
                  <w:sz w:val="24"/>
                  <w:szCs w:val="24"/>
                </w:rPr>
                <w:fldChar w:fldCharType="end"/>
              </w:r>
            </w:hyperlink>
          </w:p>
          <w:p w14:paraId="5947348F" w14:textId="76F932BD" w:rsidR="00CD33D8" w:rsidRPr="00CD33D8" w:rsidRDefault="00CD33D8">
            <w:pPr>
              <w:pStyle w:val="TableofFigures"/>
              <w:rPr>
                <w:rFonts w:asciiTheme="minorHAnsi" w:eastAsiaTheme="minorEastAsia" w:hAnsiTheme="minorHAnsi"/>
                <w:noProof/>
                <w:kern w:val="2"/>
                <w:sz w:val="24"/>
                <w:szCs w:val="24"/>
                <w:lang w:eastAsia="en-NZ"/>
                <w14:ligatures w14:val="standardContextual"/>
              </w:rPr>
            </w:pPr>
            <w:hyperlink w:anchor="_Toc220924802" w:history="1">
              <w:r w:rsidRPr="000E029E">
                <w:rPr>
                  <w:rStyle w:val="Hyperlink"/>
                  <w:noProof/>
                  <w:sz w:val="24"/>
                  <w:szCs w:val="24"/>
                </w:rPr>
                <w:t>Figure 3 Comparing educational outcomes</w:t>
              </w:r>
              <w:r w:rsidRPr="000E029E">
                <w:rPr>
                  <w:noProof/>
                  <w:webHidden/>
                  <w:sz w:val="24"/>
                  <w:szCs w:val="24"/>
                </w:rPr>
                <w:tab/>
              </w:r>
              <w:r w:rsidRPr="000E029E">
                <w:rPr>
                  <w:noProof/>
                  <w:webHidden/>
                  <w:sz w:val="24"/>
                  <w:szCs w:val="24"/>
                </w:rPr>
                <w:fldChar w:fldCharType="begin"/>
              </w:r>
              <w:r w:rsidRPr="000E029E">
                <w:rPr>
                  <w:noProof/>
                  <w:webHidden/>
                  <w:sz w:val="24"/>
                  <w:szCs w:val="24"/>
                </w:rPr>
                <w:instrText xml:space="preserve"> PAGEREF _Toc220924802 \h </w:instrText>
              </w:r>
              <w:r w:rsidRPr="000E029E">
                <w:rPr>
                  <w:noProof/>
                  <w:webHidden/>
                  <w:sz w:val="24"/>
                  <w:szCs w:val="24"/>
                </w:rPr>
              </w:r>
              <w:r w:rsidRPr="000E029E">
                <w:rPr>
                  <w:noProof/>
                  <w:webHidden/>
                  <w:sz w:val="24"/>
                  <w:szCs w:val="24"/>
                </w:rPr>
                <w:fldChar w:fldCharType="separate"/>
              </w:r>
              <w:r w:rsidR="006E35CE">
                <w:rPr>
                  <w:noProof/>
                  <w:webHidden/>
                  <w:sz w:val="24"/>
                  <w:szCs w:val="24"/>
                </w:rPr>
                <w:t>7</w:t>
              </w:r>
              <w:r w:rsidRPr="000E029E">
                <w:rPr>
                  <w:noProof/>
                  <w:webHidden/>
                  <w:sz w:val="24"/>
                  <w:szCs w:val="24"/>
                </w:rPr>
                <w:fldChar w:fldCharType="end"/>
              </w:r>
            </w:hyperlink>
          </w:p>
          <w:p w14:paraId="1BB82605" w14:textId="4CDDBCCF" w:rsidR="00CD33D8" w:rsidRPr="00CD33D8" w:rsidRDefault="00CD33D8">
            <w:pPr>
              <w:pStyle w:val="TableofFigures"/>
              <w:rPr>
                <w:rFonts w:asciiTheme="minorHAnsi" w:eastAsiaTheme="minorEastAsia" w:hAnsiTheme="minorHAnsi"/>
                <w:noProof/>
                <w:kern w:val="2"/>
                <w:sz w:val="24"/>
                <w:szCs w:val="24"/>
                <w:lang w:eastAsia="en-NZ"/>
                <w14:ligatures w14:val="standardContextual"/>
              </w:rPr>
            </w:pPr>
            <w:hyperlink w:anchor="_Toc220924803" w:history="1">
              <w:r w:rsidRPr="000E029E">
                <w:rPr>
                  <w:rStyle w:val="Hyperlink"/>
                  <w:noProof/>
                  <w:sz w:val="24"/>
                  <w:szCs w:val="24"/>
                </w:rPr>
                <w:t>Figure 4 Our CGE model represents the circular flows in the economy</w:t>
              </w:r>
              <w:r w:rsidRPr="000E029E">
                <w:rPr>
                  <w:noProof/>
                  <w:webHidden/>
                  <w:sz w:val="24"/>
                  <w:szCs w:val="24"/>
                </w:rPr>
                <w:tab/>
              </w:r>
              <w:r w:rsidRPr="000E029E">
                <w:rPr>
                  <w:noProof/>
                  <w:webHidden/>
                  <w:sz w:val="24"/>
                  <w:szCs w:val="24"/>
                </w:rPr>
                <w:fldChar w:fldCharType="begin"/>
              </w:r>
              <w:r w:rsidRPr="000E029E">
                <w:rPr>
                  <w:noProof/>
                  <w:webHidden/>
                  <w:sz w:val="24"/>
                  <w:szCs w:val="24"/>
                </w:rPr>
                <w:instrText xml:space="preserve"> PAGEREF _Toc220924803 \h </w:instrText>
              </w:r>
              <w:r w:rsidRPr="000E029E">
                <w:rPr>
                  <w:noProof/>
                  <w:webHidden/>
                  <w:sz w:val="24"/>
                  <w:szCs w:val="24"/>
                </w:rPr>
              </w:r>
              <w:r w:rsidRPr="000E029E">
                <w:rPr>
                  <w:noProof/>
                  <w:webHidden/>
                  <w:sz w:val="24"/>
                  <w:szCs w:val="24"/>
                </w:rPr>
                <w:fldChar w:fldCharType="separate"/>
              </w:r>
              <w:r w:rsidR="006E35CE">
                <w:rPr>
                  <w:noProof/>
                  <w:webHidden/>
                  <w:sz w:val="24"/>
                  <w:szCs w:val="24"/>
                </w:rPr>
                <w:t>15</w:t>
              </w:r>
              <w:r w:rsidRPr="000E029E">
                <w:rPr>
                  <w:noProof/>
                  <w:webHidden/>
                  <w:sz w:val="24"/>
                  <w:szCs w:val="24"/>
                </w:rPr>
                <w:fldChar w:fldCharType="end"/>
              </w:r>
            </w:hyperlink>
          </w:p>
          <w:p w14:paraId="02976004" w14:textId="4DEBDC97" w:rsidR="00CD33D8" w:rsidRPr="00CD33D8" w:rsidRDefault="00CD33D8">
            <w:pPr>
              <w:pStyle w:val="TableofFigures"/>
              <w:rPr>
                <w:rFonts w:asciiTheme="minorHAnsi" w:eastAsiaTheme="minorEastAsia" w:hAnsiTheme="minorHAnsi"/>
                <w:noProof/>
                <w:kern w:val="2"/>
                <w:sz w:val="24"/>
                <w:szCs w:val="24"/>
                <w:lang w:eastAsia="en-NZ"/>
                <w14:ligatures w14:val="standardContextual"/>
              </w:rPr>
            </w:pPr>
            <w:hyperlink w:anchor="_Toc220924804" w:history="1">
              <w:r w:rsidRPr="000E029E">
                <w:rPr>
                  <w:rStyle w:val="Hyperlink"/>
                  <w:noProof/>
                  <w:sz w:val="24"/>
                  <w:szCs w:val="24"/>
                </w:rPr>
                <w:t>Figure 5 Increase in real GDP from equalising unemployment among disabled people</w:t>
              </w:r>
              <w:r w:rsidRPr="000E029E">
                <w:rPr>
                  <w:noProof/>
                  <w:webHidden/>
                  <w:sz w:val="24"/>
                  <w:szCs w:val="24"/>
                </w:rPr>
                <w:tab/>
              </w:r>
              <w:r w:rsidRPr="000E029E">
                <w:rPr>
                  <w:noProof/>
                  <w:webHidden/>
                  <w:sz w:val="24"/>
                  <w:szCs w:val="24"/>
                </w:rPr>
                <w:fldChar w:fldCharType="begin"/>
              </w:r>
              <w:r w:rsidRPr="000E029E">
                <w:rPr>
                  <w:noProof/>
                  <w:webHidden/>
                  <w:sz w:val="24"/>
                  <w:szCs w:val="24"/>
                </w:rPr>
                <w:instrText xml:space="preserve"> PAGEREF _Toc220924804 \h </w:instrText>
              </w:r>
              <w:r w:rsidRPr="000E029E">
                <w:rPr>
                  <w:noProof/>
                  <w:webHidden/>
                  <w:sz w:val="24"/>
                  <w:szCs w:val="24"/>
                </w:rPr>
              </w:r>
              <w:r w:rsidRPr="000E029E">
                <w:rPr>
                  <w:noProof/>
                  <w:webHidden/>
                  <w:sz w:val="24"/>
                  <w:szCs w:val="24"/>
                </w:rPr>
                <w:fldChar w:fldCharType="separate"/>
              </w:r>
              <w:r w:rsidR="006E35CE">
                <w:rPr>
                  <w:noProof/>
                  <w:webHidden/>
                  <w:sz w:val="24"/>
                  <w:szCs w:val="24"/>
                </w:rPr>
                <w:t>18</w:t>
              </w:r>
              <w:r w:rsidRPr="000E029E">
                <w:rPr>
                  <w:noProof/>
                  <w:webHidden/>
                  <w:sz w:val="24"/>
                  <w:szCs w:val="24"/>
                </w:rPr>
                <w:fldChar w:fldCharType="end"/>
              </w:r>
            </w:hyperlink>
          </w:p>
          <w:p w14:paraId="044B36E6" w14:textId="2FE1FF68" w:rsidR="00CD33D8" w:rsidRPr="00CD33D8" w:rsidRDefault="00CD33D8">
            <w:pPr>
              <w:pStyle w:val="TableofFigures"/>
              <w:rPr>
                <w:rFonts w:asciiTheme="minorHAnsi" w:eastAsiaTheme="minorEastAsia" w:hAnsiTheme="minorHAnsi"/>
                <w:noProof/>
                <w:kern w:val="2"/>
                <w:sz w:val="24"/>
                <w:szCs w:val="24"/>
                <w:lang w:eastAsia="en-NZ"/>
                <w14:ligatures w14:val="standardContextual"/>
              </w:rPr>
            </w:pPr>
            <w:hyperlink w:anchor="_Toc220924805" w:history="1">
              <w:r w:rsidRPr="000E029E">
                <w:rPr>
                  <w:rStyle w:val="Hyperlink"/>
                  <w:noProof/>
                  <w:sz w:val="24"/>
                  <w:szCs w:val="24"/>
                </w:rPr>
                <w:t>Figure 6 Increase in real GDP from improved educational outcomes</w:t>
              </w:r>
              <w:r w:rsidRPr="000E029E">
                <w:rPr>
                  <w:noProof/>
                  <w:webHidden/>
                  <w:sz w:val="24"/>
                  <w:szCs w:val="24"/>
                </w:rPr>
                <w:tab/>
              </w:r>
              <w:r w:rsidRPr="000E029E">
                <w:rPr>
                  <w:noProof/>
                  <w:webHidden/>
                  <w:sz w:val="24"/>
                  <w:szCs w:val="24"/>
                </w:rPr>
                <w:fldChar w:fldCharType="begin"/>
              </w:r>
              <w:r w:rsidRPr="000E029E">
                <w:rPr>
                  <w:noProof/>
                  <w:webHidden/>
                  <w:sz w:val="24"/>
                  <w:szCs w:val="24"/>
                </w:rPr>
                <w:instrText xml:space="preserve"> PAGEREF _Toc220924805 \h </w:instrText>
              </w:r>
              <w:r w:rsidRPr="000E029E">
                <w:rPr>
                  <w:noProof/>
                  <w:webHidden/>
                  <w:sz w:val="24"/>
                  <w:szCs w:val="24"/>
                </w:rPr>
              </w:r>
              <w:r w:rsidRPr="000E029E">
                <w:rPr>
                  <w:noProof/>
                  <w:webHidden/>
                  <w:sz w:val="24"/>
                  <w:szCs w:val="24"/>
                </w:rPr>
                <w:fldChar w:fldCharType="separate"/>
              </w:r>
              <w:r w:rsidR="006E35CE">
                <w:rPr>
                  <w:noProof/>
                  <w:webHidden/>
                  <w:sz w:val="24"/>
                  <w:szCs w:val="24"/>
                </w:rPr>
                <w:t>19</w:t>
              </w:r>
              <w:r w:rsidRPr="000E029E">
                <w:rPr>
                  <w:noProof/>
                  <w:webHidden/>
                  <w:sz w:val="24"/>
                  <w:szCs w:val="24"/>
                </w:rPr>
                <w:fldChar w:fldCharType="end"/>
              </w:r>
            </w:hyperlink>
          </w:p>
          <w:p w14:paraId="2F16F9E0" w14:textId="241CAB99" w:rsidR="00F8197C" w:rsidRPr="000E029E" w:rsidRDefault="00F8197C" w:rsidP="00DD5977">
            <w:pPr>
              <w:pStyle w:val="USWhiteSpace"/>
              <w:rPr>
                <w:noProof/>
                <w:sz w:val="24"/>
                <w:szCs w:val="24"/>
                <w:lang w:val="en-US"/>
              </w:rPr>
            </w:pPr>
            <w:r w:rsidRPr="009A7318">
              <w:rPr>
                <w:sz w:val="24"/>
                <w:szCs w:val="24"/>
              </w:rPr>
              <w:fldChar w:fldCharType="end"/>
            </w:r>
          </w:p>
        </w:tc>
      </w:tr>
      <w:tr w:rsidR="00DD5977" w14:paraId="24E78F10" w14:textId="77777777" w:rsidTr="001C0653">
        <w:tc>
          <w:tcPr>
            <w:tcW w:w="9393" w:type="dxa"/>
            <w:tcBorders>
              <w:top w:val="nil"/>
              <w:left w:val="nil"/>
              <w:bottom w:val="nil"/>
              <w:right w:val="nil"/>
            </w:tcBorders>
          </w:tcPr>
          <w:p w14:paraId="113477E0" w14:textId="13EC83AC" w:rsidR="00DD5977" w:rsidRPr="000E029E" w:rsidRDefault="00DD5977" w:rsidP="001A3EDE">
            <w:pPr>
              <w:pStyle w:val="HeadingContents-TablesFigures"/>
              <w:spacing w:before="240"/>
              <w:rPr>
                <w:sz w:val="24"/>
                <w:szCs w:val="24"/>
              </w:rPr>
            </w:pPr>
            <w:r w:rsidRPr="000E029E">
              <w:rPr>
                <w:sz w:val="24"/>
                <w:szCs w:val="24"/>
              </w:rPr>
              <w:t>Tables</w:t>
            </w:r>
          </w:p>
        </w:tc>
      </w:tr>
      <w:tr w:rsidR="00F8197C" w14:paraId="2DD2EF8D" w14:textId="77777777" w:rsidTr="001C0653">
        <w:tc>
          <w:tcPr>
            <w:tcW w:w="9393" w:type="dxa"/>
            <w:tcBorders>
              <w:top w:val="nil"/>
              <w:left w:val="nil"/>
              <w:bottom w:val="nil"/>
              <w:right w:val="nil"/>
            </w:tcBorders>
          </w:tcPr>
          <w:p w14:paraId="5FA18A62" w14:textId="75565B32" w:rsidR="00A07F16" w:rsidRPr="001734E0" w:rsidRDefault="00F8197C">
            <w:pPr>
              <w:pStyle w:val="TableofFigures"/>
              <w:rPr>
                <w:rFonts w:asciiTheme="minorHAnsi" w:eastAsiaTheme="minorEastAsia" w:hAnsiTheme="minorHAnsi"/>
                <w:noProof/>
                <w:kern w:val="2"/>
                <w:sz w:val="24"/>
                <w:szCs w:val="24"/>
                <w:lang w:eastAsia="en-NZ"/>
                <w14:ligatures w14:val="standardContextual"/>
              </w:rPr>
            </w:pPr>
            <w:r w:rsidRPr="000E029E">
              <w:rPr>
                <w:b/>
                <w:bCs/>
                <w:noProof/>
                <w:sz w:val="24"/>
                <w:szCs w:val="24"/>
                <w:lang w:val="en-US"/>
              </w:rPr>
              <w:fldChar w:fldCharType="begin"/>
            </w:r>
            <w:r w:rsidRPr="00CD33D8">
              <w:rPr>
                <w:b/>
                <w:bCs/>
                <w:noProof/>
                <w:sz w:val="24"/>
                <w:szCs w:val="24"/>
                <w:lang w:val="en-US"/>
              </w:rPr>
              <w:instrText xml:space="preserve"> TOC </w:instrText>
            </w:r>
            <w:r w:rsidR="007C21B3" w:rsidRPr="00CD33D8">
              <w:rPr>
                <w:b/>
                <w:bCs/>
                <w:noProof/>
                <w:sz w:val="24"/>
                <w:szCs w:val="24"/>
                <w:lang w:val="en-US"/>
              </w:rPr>
              <w:instrText xml:space="preserve">\h \z </w:instrText>
            </w:r>
            <w:r w:rsidRPr="00CD33D8">
              <w:rPr>
                <w:b/>
                <w:bCs/>
                <w:noProof/>
                <w:sz w:val="24"/>
                <w:szCs w:val="24"/>
                <w:lang w:val="en-US"/>
              </w:rPr>
              <w:instrText>\c "Table</w:instrText>
            </w:r>
            <w:r w:rsidR="00C005FA" w:rsidRPr="00CD33D8">
              <w:rPr>
                <w:b/>
                <w:bCs/>
                <w:noProof/>
                <w:sz w:val="24"/>
                <w:szCs w:val="24"/>
                <w:lang w:val="en-US"/>
              </w:rPr>
              <w:instrText>"</w:instrText>
            </w:r>
            <w:r w:rsidRPr="00CD33D8">
              <w:rPr>
                <w:b/>
                <w:bCs/>
                <w:noProof/>
                <w:sz w:val="24"/>
                <w:szCs w:val="24"/>
                <w:lang w:val="en-US"/>
              </w:rPr>
              <w:instrText xml:space="preserve"> </w:instrText>
            </w:r>
            <w:r w:rsidRPr="000E029E">
              <w:rPr>
                <w:b/>
                <w:bCs/>
                <w:noProof/>
                <w:sz w:val="24"/>
                <w:szCs w:val="24"/>
                <w:lang w:val="en-US"/>
              </w:rPr>
              <w:fldChar w:fldCharType="separate"/>
            </w:r>
            <w:hyperlink w:anchor="_Toc216879592" w:history="1">
              <w:r w:rsidR="00A07F16" w:rsidRPr="00CD33D8">
                <w:rPr>
                  <w:rStyle w:val="Hyperlink"/>
                  <w:noProof/>
                  <w:sz w:val="24"/>
                  <w:szCs w:val="24"/>
                </w:rPr>
                <w:t>Table 1 OECD findings and recommendations</w:t>
              </w:r>
              <w:r w:rsidR="00A07F16" w:rsidRPr="00CD33D8">
                <w:rPr>
                  <w:noProof/>
                  <w:webHidden/>
                  <w:sz w:val="24"/>
                  <w:szCs w:val="24"/>
                </w:rPr>
                <w:tab/>
              </w:r>
              <w:r w:rsidR="00A07F16" w:rsidRPr="000E029E">
                <w:rPr>
                  <w:noProof/>
                  <w:webHidden/>
                  <w:sz w:val="24"/>
                  <w:szCs w:val="24"/>
                </w:rPr>
                <w:fldChar w:fldCharType="begin"/>
              </w:r>
              <w:r w:rsidR="00A07F16" w:rsidRPr="00CD33D8">
                <w:rPr>
                  <w:noProof/>
                  <w:webHidden/>
                  <w:sz w:val="24"/>
                  <w:szCs w:val="24"/>
                </w:rPr>
                <w:instrText xml:space="preserve"> PAGEREF _Toc216879592 \h </w:instrText>
              </w:r>
              <w:r w:rsidR="00A07F16" w:rsidRPr="000E029E">
                <w:rPr>
                  <w:noProof/>
                  <w:webHidden/>
                  <w:sz w:val="24"/>
                  <w:szCs w:val="24"/>
                </w:rPr>
              </w:r>
              <w:r w:rsidR="00A07F16" w:rsidRPr="000E029E">
                <w:rPr>
                  <w:noProof/>
                  <w:webHidden/>
                  <w:sz w:val="24"/>
                  <w:szCs w:val="24"/>
                </w:rPr>
                <w:fldChar w:fldCharType="separate"/>
              </w:r>
              <w:r w:rsidR="006E35CE">
                <w:rPr>
                  <w:noProof/>
                  <w:webHidden/>
                  <w:sz w:val="24"/>
                  <w:szCs w:val="24"/>
                </w:rPr>
                <w:t>9</w:t>
              </w:r>
              <w:r w:rsidR="00A07F16" w:rsidRPr="000E029E">
                <w:rPr>
                  <w:noProof/>
                  <w:webHidden/>
                  <w:sz w:val="24"/>
                  <w:szCs w:val="24"/>
                </w:rPr>
                <w:fldChar w:fldCharType="end"/>
              </w:r>
            </w:hyperlink>
          </w:p>
          <w:p w14:paraId="1C0603F8" w14:textId="5346C9C9" w:rsidR="00F8197C" w:rsidRPr="00CD33D8" w:rsidRDefault="00F8197C" w:rsidP="00DD5977">
            <w:pPr>
              <w:pStyle w:val="USWhiteSpace"/>
              <w:rPr>
                <w:sz w:val="24"/>
                <w:szCs w:val="24"/>
              </w:rPr>
            </w:pPr>
            <w:r w:rsidRPr="000E029E">
              <w:rPr>
                <w:noProof/>
                <w:sz w:val="24"/>
                <w:szCs w:val="24"/>
                <w:lang w:val="en-US"/>
              </w:rPr>
              <w:fldChar w:fldCharType="end"/>
            </w:r>
          </w:p>
        </w:tc>
      </w:tr>
    </w:tbl>
    <w:p w14:paraId="55BF307D" w14:textId="11936C84" w:rsidR="008B5F66" w:rsidRPr="008B5F66" w:rsidRDefault="008B5F66" w:rsidP="008B5F66">
      <w:pPr>
        <w:pStyle w:val="USWhiteSpace"/>
        <w:rPr>
          <w:sz w:val="2"/>
          <w:szCs w:val="2"/>
        </w:rPr>
      </w:pPr>
    </w:p>
    <w:p w14:paraId="0586A6D6" w14:textId="3504DBA9" w:rsidR="008B5F66" w:rsidRPr="005925F4" w:rsidRDefault="008B5F66" w:rsidP="008B5F66">
      <w:pPr>
        <w:pStyle w:val="USBodyText"/>
        <w:sectPr w:rsidR="008B5F66" w:rsidRPr="005925F4" w:rsidSect="00697268">
          <w:pgSz w:w="11907" w:h="16839" w:code="9"/>
          <w:pgMar w:top="1701" w:right="1418" w:bottom="1418" w:left="1418" w:header="851" w:footer="851" w:gutter="0"/>
          <w:pgNumType w:fmt="lowerRoman"/>
          <w:cols w:space="708"/>
          <w:docGrid w:linePitch="360"/>
        </w:sectPr>
      </w:pPr>
    </w:p>
    <w:p w14:paraId="19BB14DE" w14:textId="128CB938" w:rsidR="00BE14CF" w:rsidRDefault="003A4382" w:rsidP="008C0894">
      <w:pPr>
        <w:pStyle w:val="Heading1"/>
        <w:numPr>
          <w:ilvl w:val="0"/>
          <w:numId w:val="37"/>
        </w:numPr>
      </w:pPr>
      <w:bookmarkStart w:id="2" w:name="_Toc220924660"/>
      <w:r>
        <w:lastRenderedPageBreak/>
        <w:t>Objectives and scope</w:t>
      </w:r>
      <w:bookmarkEnd w:id="2"/>
    </w:p>
    <w:p w14:paraId="5357EA02" w14:textId="6077CAFB" w:rsidR="001629C8" w:rsidRPr="000E029E" w:rsidRDefault="00B2776F" w:rsidP="001629C8">
      <w:pPr>
        <w:pStyle w:val="USBodyText"/>
        <w:rPr>
          <w:sz w:val="24"/>
          <w:szCs w:val="24"/>
        </w:rPr>
      </w:pPr>
      <w:r w:rsidRPr="000E029E">
        <w:rPr>
          <w:sz w:val="24"/>
          <w:szCs w:val="24"/>
        </w:rPr>
        <w:t>Disable</w:t>
      </w:r>
      <w:r w:rsidR="009B488E" w:rsidRPr="000E029E">
        <w:rPr>
          <w:sz w:val="24"/>
          <w:szCs w:val="24"/>
        </w:rPr>
        <w:t>d</w:t>
      </w:r>
      <w:r w:rsidRPr="000E029E">
        <w:rPr>
          <w:sz w:val="24"/>
          <w:szCs w:val="24"/>
        </w:rPr>
        <w:t xml:space="preserve"> people </w:t>
      </w:r>
      <w:r w:rsidR="001629C8" w:rsidRPr="000E029E">
        <w:rPr>
          <w:sz w:val="24"/>
          <w:szCs w:val="24"/>
        </w:rPr>
        <w:t xml:space="preserve">are more likely to be unemployed or engaged in part-time work compared to those without disabilities. This contributes to lower living standards for </w:t>
      </w:r>
      <w:r w:rsidR="007E0A82" w:rsidRPr="000E029E">
        <w:rPr>
          <w:sz w:val="24"/>
          <w:szCs w:val="24"/>
        </w:rPr>
        <w:t xml:space="preserve">disabled </w:t>
      </w:r>
      <w:r w:rsidR="001629C8" w:rsidRPr="000E029E">
        <w:rPr>
          <w:sz w:val="24"/>
          <w:szCs w:val="24"/>
        </w:rPr>
        <w:t>people and increases government spending through long-term welfare support.</w:t>
      </w:r>
    </w:p>
    <w:p w14:paraId="6EB939DF" w14:textId="2039123D" w:rsidR="001629C8" w:rsidRPr="000E029E" w:rsidRDefault="001629C8" w:rsidP="001629C8">
      <w:pPr>
        <w:pStyle w:val="USBodyText"/>
        <w:rPr>
          <w:sz w:val="24"/>
          <w:szCs w:val="24"/>
        </w:rPr>
      </w:pPr>
      <w:r w:rsidRPr="000E029E">
        <w:rPr>
          <w:sz w:val="24"/>
          <w:szCs w:val="24"/>
        </w:rPr>
        <w:t>The Government has prioritised reducing long-term welfare dependency by decreasing the number of people who rely on income assistance. Expanding access to meaningful</w:t>
      </w:r>
      <w:r w:rsidR="007D1257" w:rsidRPr="000E029E">
        <w:rPr>
          <w:sz w:val="24"/>
          <w:szCs w:val="24"/>
        </w:rPr>
        <w:t>,</w:t>
      </w:r>
      <w:r w:rsidRPr="000E029E">
        <w:rPr>
          <w:sz w:val="24"/>
          <w:szCs w:val="24"/>
        </w:rPr>
        <w:t xml:space="preserve"> sustainable employment </w:t>
      </w:r>
      <w:r w:rsidR="003D6555" w:rsidRPr="000E029E">
        <w:rPr>
          <w:sz w:val="24"/>
          <w:szCs w:val="24"/>
        </w:rPr>
        <w:t>opport</w:t>
      </w:r>
      <w:r w:rsidR="008F1003" w:rsidRPr="000E029E">
        <w:rPr>
          <w:sz w:val="24"/>
          <w:szCs w:val="24"/>
        </w:rPr>
        <w:t>unities</w:t>
      </w:r>
      <w:r w:rsidRPr="000E029E">
        <w:rPr>
          <w:sz w:val="24"/>
          <w:szCs w:val="24"/>
        </w:rPr>
        <w:t xml:space="preserve"> for </w:t>
      </w:r>
      <w:r w:rsidR="007E0A82" w:rsidRPr="000E029E">
        <w:rPr>
          <w:sz w:val="24"/>
          <w:szCs w:val="24"/>
        </w:rPr>
        <w:t>disabled people</w:t>
      </w:r>
      <w:r w:rsidRPr="000E029E">
        <w:rPr>
          <w:sz w:val="24"/>
          <w:szCs w:val="24"/>
        </w:rPr>
        <w:t xml:space="preserve"> is a critical step toward achieving this goal. It can reduce reliance on welfare, improve individual incomes, and support better overall wellbeing.</w:t>
      </w:r>
    </w:p>
    <w:p w14:paraId="3A2AD447" w14:textId="5E258DE2" w:rsidR="007E1D80" w:rsidRPr="000E029E" w:rsidRDefault="007E1D80" w:rsidP="001629C8">
      <w:pPr>
        <w:pStyle w:val="USBodyText"/>
        <w:rPr>
          <w:sz w:val="24"/>
          <w:szCs w:val="24"/>
        </w:rPr>
      </w:pPr>
      <w:r w:rsidRPr="000E029E">
        <w:rPr>
          <w:sz w:val="24"/>
          <w:szCs w:val="24"/>
        </w:rPr>
        <w:t>Enhancing educational outcomes for disabled people delivers substantial benefits for both individuals and society. It opens pathways to improved employment prospects, increased income, and reduced reliance on welfare, while also fostering social inclusion, autonomy, and overall wellbeing. Addressing the education gap is not merely an issue of equity</w:t>
      </w:r>
      <w:r w:rsidR="008F1003" w:rsidRPr="000E029E">
        <w:rPr>
          <w:sz w:val="24"/>
          <w:szCs w:val="24"/>
        </w:rPr>
        <w:t xml:space="preserve"> – </w:t>
      </w:r>
      <w:r w:rsidRPr="000E029E">
        <w:rPr>
          <w:sz w:val="24"/>
          <w:szCs w:val="24"/>
        </w:rPr>
        <w:t>it is a crucial foundation for building a more inclusive, efficient, and fair society.</w:t>
      </w:r>
    </w:p>
    <w:p w14:paraId="3E6806C8" w14:textId="77777777" w:rsidR="00247501" w:rsidRDefault="000D4047" w:rsidP="00247501">
      <w:pPr>
        <w:pStyle w:val="Heading4"/>
      </w:pPr>
      <w:r>
        <w:t xml:space="preserve">Purpose of this research </w:t>
      </w:r>
    </w:p>
    <w:p w14:paraId="613DF0BC" w14:textId="5A9D8401" w:rsidR="00247501" w:rsidRPr="000E029E" w:rsidRDefault="00247501" w:rsidP="00247501">
      <w:pPr>
        <w:pStyle w:val="USBodyText"/>
        <w:rPr>
          <w:sz w:val="24"/>
          <w:szCs w:val="24"/>
        </w:rPr>
      </w:pPr>
      <w:r w:rsidRPr="000E029E">
        <w:rPr>
          <w:sz w:val="24"/>
          <w:szCs w:val="24"/>
        </w:rPr>
        <w:t xml:space="preserve">Whaikaha – the Ministry of Disabled People commissioned NZIER to provide a contemporary update on the potential macroeconomic benefits of improving labour force and educational outcomes for </w:t>
      </w:r>
      <w:r w:rsidR="009D334A" w:rsidRPr="000E029E">
        <w:rPr>
          <w:sz w:val="24"/>
          <w:szCs w:val="24"/>
        </w:rPr>
        <w:t xml:space="preserve">disabled </w:t>
      </w:r>
      <w:r w:rsidRPr="000E029E">
        <w:rPr>
          <w:sz w:val="24"/>
          <w:szCs w:val="24"/>
        </w:rPr>
        <w:t>people</w:t>
      </w:r>
      <w:r w:rsidR="004E100C" w:rsidRPr="000E029E">
        <w:rPr>
          <w:sz w:val="24"/>
          <w:szCs w:val="24"/>
        </w:rPr>
        <w:t>,</w:t>
      </w:r>
      <w:r w:rsidR="002E5B26" w:rsidRPr="000E029E">
        <w:rPr>
          <w:sz w:val="24"/>
          <w:szCs w:val="24"/>
        </w:rPr>
        <w:t xml:space="preserve"> which </w:t>
      </w:r>
      <w:r w:rsidR="00654634">
        <w:rPr>
          <w:sz w:val="24"/>
          <w:szCs w:val="24"/>
        </w:rPr>
        <w:t>NZIER</w:t>
      </w:r>
      <w:r w:rsidR="002E5B26" w:rsidRPr="000E029E">
        <w:rPr>
          <w:sz w:val="24"/>
          <w:szCs w:val="24"/>
        </w:rPr>
        <w:t xml:space="preserve"> </w:t>
      </w:r>
      <w:r w:rsidR="004E100C" w:rsidRPr="000E029E">
        <w:rPr>
          <w:sz w:val="24"/>
          <w:szCs w:val="24"/>
        </w:rPr>
        <w:t>previously</w:t>
      </w:r>
      <w:r w:rsidR="007055B6" w:rsidRPr="000E029E">
        <w:rPr>
          <w:sz w:val="24"/>
          <w:szCs w:val="24"/>
        </w:rPr>
        <w:t xml:space="preserve"> assessed</w:t>
      </w:r>
      <w:r w:rsidR="00654634">
        <w:rPr>
          <w:sz w:val="24"/>
          <w:szCs w:val="24"/>
        </w:rPr>
        <w:t xml:space="preserve"> in 2017</w:t>
      </w:r>
      <w:r w:rsidR="003434D8" w:rsidRPr="000E029E">
        <w:rPr>
          <w:sz w:val="24"/>
          <w:szCs w:val="24"/>
        </w:rPr>
        <w:t xml:space="preserve"> </w:t>
      </w:r>
      <w:r w:rsidR="00654634">
        <w:rPr>
          <w:sz w:val="24"/>
          <w:szCs w:val="24"/>
        </w:rPr>
        <w:t>(</w:t>
      </w:r>
      <w:r w:rsidR="003434D8" w:rsidRPr="000E029E">
        <w:rPr>
          <w:sz w:val="24"/>
          <w:szCs w:val="24"/>
        </w:rPr>
        <w:fldChar w:fldCharType="begin"/>
      </w:r>
      <w:r w:rsidR="00B149C2">
        <w:rPr>
          <w:sz w:val="24"/>
          <w:szCs w:val="24"/>
        </w:rPr>
        <w:instrText xml:space="preserve"> ADDIN ZOTERO_ITEM CSL_CITATION {"citationID":"0H0BhWu0","properties":{"formattedCitation":"(NZIER 2017)","plainCitation":"(NZIER 2017)","dontUpdate":true,"noteIndex":0},"citationItems":[{"id":90123,"uris":["http://zotero.org/groups/2546341/items/D3Y6XVUL"],"itemData":{"id":90123,"type":"report","publisher":"Blind Foundation for the Access Alliance","title":"Valuing access to work","author":[{"family":"NZIER","given":""}],"issued":{"date-parts":[["2017"]]}}}],"schema":"https://github.com/citation-style-language/schema/raw/master/csl-citation.json"} </w:instrText>
      </w:r>
      <w:r w:rsidR="003434D8" w:rsidRPr="000E029E">
        <w:rPr>
          <w:sz w:val="24"/>
          <w:szCs w:val="24"/>
        </w:rPr>
        <w:fldChar w:fldCharType="separate"/>
      </w:r>
      <w:r w:rsidR="003434D8" w:rsidRPr="000E029E">
        <w:rPr>
          <w:rFonts w:cs="Calibri"/>
          <w:sz w:val="24"/>
          <w:szCs w:val="24"/>
        </w:rPr>
        <w:t>NZIER</w:t>
      </w:r>
      <w:r w:rsidR="00654634">
        <w:rPr>
          <w:rFonts w:cs="Calibri"/>
          <w:sz w:val="24"/>
          <w:szCs w:val="24"/>
        </w:rPr>
        <w:t xml:space="preserve"> </w:t>
      </w:r>
      <w:r w:rsidR="003434D8" w:rsidRPr="000E029E">
        <w:rPr>
          <w:rFonts w:cs="Calibri"/>
          <w:sz w:val="24"/>
          <w:szCs w:val="24"/>
        </w:rPr>
        <w:t>2017)</w:t>
      </w:r>
      <w:r w:rsidR="003434D8" w:rsidRPr="000E029E">
        <w:rPr>
          <w:sz w:val="24"/>
          <w:szCs w:val="24"/>
        </w:rPr>
        <w:fldChar w:fldCharType="end"/>
      </w:r>
      <w:r w:rsidR="0032555F" w:rsidRPr="000E029E">
        <w:rPr>
          <w:sz w:val="24"/>
          <w:szCs w:val="24"/>
        </w:rPr>
        <w:t>.</w:t>
      </w:r>
    </w:p>
    <w:p w14:paraId="23404949" w14:textId="7AD254D3" w:rsidR="00BE317F" w:rsidRDefault="00BE317F" w:rsidP="00384478">
      <w:pPr>
        <w:pStyle w:val="Heading4"/>
      </w:pPr>
      <w:r>
        <w:t>Research question</w:t>
      </w:r>
      <w:r w:rsidR="009E27F4">
        <w:t>s</w:t>
      </w:r>
    </w:p>
    <w:p w14:paraId="7D88F718" w14:textId="61C1119C" w:rsidR="009E27F4" w:rsidRPr="000E029E" w:rsidRDefault="009E27F4" w:rsidP="00247501">
      <w:pPr>
        <w:pStyle w:val="USBodyText"/>
        <w:rPr>
          <w:sz w:val="24"/>
          <w:szCs w:val="24"/>
        </w:rPr>
      </w:pPr>
      <w:r w:rsidRPr="000E029E">
        <w:rPr>
          <w:sz w:val="24"/>
          <w:szCs w:val="24"/>
        </w:rPr>
        <w:t>What are the potential macroeconomic benefits of the following scenarios</w:t>
      </w:r>
      <w:r w:rsidR="00617062" w:rsidRPr="000E029E">
        <w:rPr>
          <w:sz w:val="24"/>
          <w:szCs w:val="24"/>
        </w:rPr>
        <w:t>?</w:t>
      </w:r>
    </w:p>
    <w:p w14:paraId="5596714B" w14:textId="55EB7F46" w:rsidR="001A3537" w:rsidRPr="000E029E" w:rsidRDefault="001A3537" w:rsidP="001A3537">
      <w:pPr>
        <w:pStyle w:val="USBullet1"/>
        <w:rPr>
          <w:sz w:val="24"/>
          <w:szCs w:val="24"/>
          <w:lang w:eastAsia="en-NZ"/>
        </w:rPr>
      </w:pPr>
      <w:r w:rsidRPr="000E029E">
        <w:rPr>
          <w:b/>
          <w:bCs/>
          <w:sz w:val="24"/>
          <w:szCs w:val="24"/>
          <w:lang w:eastAsia="en-NZ"/>
        </w:rPr>
        <w:t>Scenario 1</w:t>
      </w:r>
      <w:r w:rsidRPr="000E029E">
        <w:rPr>
          <w:sz w:val="24"/>
          <w:szCs w:val="24"/>
          <w:lang w:eastAsia="en-NZ"/>
        </w:rPr>
        <w:t xml:space="preserve"> models the economic impact of increasing employment among </w:t>
      </w:r>
      <w:r w:rsidR="006B2971" w:rsidRPr="000E029E">
        <w:rPr>
          <w:sz w:val="24"/>
          <w:szCs w:val="24"/>
          <w:lang w:eastAsia="en-NZ"/>
        </w:rPr>
        <w:t>disabled</w:t>
      </w:r>
      <w:r w:rsidR="003F49B3" w:rsidRPr="000E029E">
        <w:rPr>
          <w:sz w:val="24"/>
          <w:szCs w:val="24"/>
          <w:lang w:eastAsia="en-NZ"/>
        </w:rPr>
        <w:t xml:space="preserve"> peop</w:t>
      </w:r>
      <w:r w:rsidR="00022A71" w:rsidRPr="000E029E">
        <w:rPr>
          <w:sz w:val="24"/>
          <w:szCs w:val="24"/>
          <w:lang w:eastAsia="en-NZ"/>
        </w:rPr>
        <w:t>le</w:t>
      </w:r>
      <w:r w:rsidR="006B2971" w:rsidRPr="000E029E">
        <w:rPr>
          <w:sz w:val="24"/>
          <w:szCs w:val="24"/>
          <w:lang w:eastAsia="en-NZ"/>
        </w:rPr>
        <w:t>.</w:t>
      </w:r>
      <w:r w:rsidRPr="000E029E">
        <w:rPr>
          <w:sz w:val="24"/>
          <w:szCs w:val="24"/>
          <w:lang w:eastAsia="en-NZ"/>
        </w:rPr>
        <w:t xml:space="preserve"> It illustrates the potential effect on the economy if the unemployment rate for </w:t>
      </w:r>
      <w:r w:rsidR="006B2971" w:rsidRPr="000E029E">
        <w:rPr>
          <w:sz w:val="24"/>
          <w:szCs w:val="24"/>
          <w:lang w:eastAsia="en-NZ"/>
        </w:rPr>
        <w:t>disabled</w:t>
      </w:r>
      <w:r w:rsidR="00022A71" w:rsidRPr="000E029E">
        <w:rPr>
          <w:sz w:val="24"/>
          <w:szCs w:val="24"/>
          <w:lang w:eastAsia="en-NZ"/>
        </w:rPr>
        <w:t xml:space="preserve"> people</w:t>
      </w:r>
      <w:r w:rsidR="006B2971" w:rsidRPr="000E029E">
        <w:rPr>
          <w:sz w:val="24"/>
          <w:szCs w:val="24"/>
          <w:lang w:eastAsia="en-NZ"/>
        </w:rPr>
        <w:t xml:space="preserve"> </w:t>
      </w:r>
      <w:r w:rsidRPr="000E029E">
        <w:rPr>
          <w:sz w:val="24"/>
          <w:szCs w:val="24"/>
          <w:lang w:eastAsia="en-NZ"/>
        </w:rPr>
        <w:t>were reduced to match the national average</w:t>
      </w:r>
      <w:r w:rsidR="00313378" w:rsidRPr="000E029E">
        <w:rPr>
          <w:sz w:val="24"/>
          <w:szCs w:val="24"/>
          <w:lang w:eastAsia="en-NZ"/>
        </w:rPr>
        <w:t xml:space="preserve"> for non-disabled people</w:t>
      </w:r>
      <w:r w:rsidR="00224036" w:rsidRPr="000E029E">
        <w:rPr>
          <w:sz w:val="24"/>
          <w:szCs w:val="24"/>
          <w:lang w:eastAsia="en-NZ"/>
        </w:rPr>
        <w:t>.</w:t>
      </w:r>
    </w:p>
    <w:p w14:paraId="07852536" w14:textId="0737EAF8" w:rsidR="001A3537" w:rsidRPr="000E029E" w:rsidRDefault="001A3537" w:rsidP="001A3537">
      <w:pPr>
        <w:pStyle w:val="USBullet1"/>
        <w:rPr>
          <w:sz w:val="24"/>
          <w:szCs w:val="24"/>
          <w:lang w:eastAsia="en-NZ"/>
        </w:rPr>
      </w:pPr>
      <w:r w:rsidRPr="000E029E">
        <w:rPr>
          <w:b/>
          <w:bCs/>
          <w:sz w:val="24"/>
          <w:szCs w:val="24"/>
          <w:lang w:eastAsia="en-NZ"/>
        </w:rPr>
        <w:t>Scenario 2</w:t>
      </w:r>
      <w:r w:rsidRPr="000E029E">
        <w:rPr>
          <w:sz w:val="24"/>
          <w:szCs w:val="24"/>
          <w:lang w:eastAsia="en-NZ"/>
        </w:rPr>
        <w:t xml:space="preserve"> models the impact of higher productivity driven by improved educational outcomes for</w:t>
      </w:r>
      <w:r>
        <w:rPr>
          <w:sz w:val="24"/>
          <w:szCs w:val="24"/>
          <w:lang w:eastAsia="en-NZ"/>
        </w:rPr>
        <w:t xml:space="preserve"> </w:t>
      </w:r>
      <w:r w:rsidR="0011726B">
        <w:rPr>
          <w:sz w:val="24"/>
          <w:szCs w:val="24"/>
          <w:lang w:eastAsia="en-NZ"/>
        </w:rPr>
        <w:t>employed</w:t>
      </w:r>
      <w:r w:rsidRPr="000E029E">
        <w:rPr>
          <w:sz w:val="24"/>
          <w:szCs w:val="24"/>
          <w:lang w:eastAsia="en-NZ"/>
        </w:rPr>
        <w:t xml:space="preserve"> </w:t>
      </w:r>
      <w:r w:rsidR="00F36CE5" w:rsidRPr="000E029E">
        <w:rPr>
          <w:sz w:val="24"/>
          <w:szCs w:val="24"/>
          <w:lang w:eastAsia="en-NZ"/>
        </w:rPr>
        <w:t>disabled people</w:t>
      </w:r>
      <w:r w:rsidRPr="000E029E">
        <w:rPr>
          <w:sz w:val="24"/>
          <w:szCs w:val="24"/>
          <w:lang w:eastAsia="en-NZ"/>
        </w:rPr>
        <w:t xml:space="preserve">. It demonstrates how enhanced education can enable </w:t>
      </w:r>
      <w:r w:rsidR="004E63EA" w:rsidRPr="000E029E">
        <w:rPr>
          <w:sz w:val="24"/>
          <w:szCs w:val="24"/>
          <w:lang w:eastAsia="en-NZ"/>
        </w:rPr>
        <w:t>disabled people</w:t>
      </w:r>
      <w:r w:rsidRPr="000E029E">
        <w:rPr>
          <w:sz w:val="24"/>
          <w:szCs w:val="24"/>
          <w:lang w:eastAsia="en-NZ"/>
        </w:rPr>
        <w:t xml:space="preserve"> to achieve higher income levels.</w:t>
      </w:r>
    </w:p>
    <w:p w14:paraId="312CA73C" w14:textId="3AD8D2A7" w:rsidR="001629C8" w:rsidRDefault="00384478" w:rsidP="005D7D15">
      <w:pPr>
        <w:pStyle w:val="Heading4"/>
      </w:pPr>
      <w:r>
        <w:t>Scope of the assessment</w:t>
      </w:r>
    </w:p>
    <w:p w14:paraId="13E6A265" w14:textId="7BC9D0B6" w:rsidR="005D7D15" w:rsidRPr="000E029E" w:rsidRDefault="005D7D15" w:rsidP="005D7D15">
      <w:pPr>
        <w:pStyle w:val="USBodyText"/>
        <w:rPr>
          <w:sz w:val="24"/>
          <w:szCs w:val="24"/>
          <w:lang w:val="mi-NZ"/>
        </w:rPr>
      </w:pPr>
      <w:r w:rsidRPr="000E029E">
        <w:rPr>
          <w:sz w:val="24"/>
          <w:szCs w:val="24"/>
        </w:rPr>
        <w:t xml:space="preserve">The scope of the assessment of the potential macroeconomic benefits of improving </w:t>
      </w:r>
      <w:r w:rsidR="004C70AC" w:rsidRPr="000E029E">
        <w:rPr>
          <w:sz w:val="24"/>
          <w:szCs w:val="24"/>
        </w:rPr>
        <w:t>employment opportunities and education</w:t>
      </w:r>
      <w:r w:rsidR="009A057A" w:rsidRPr="000E029E">
        <w:rPr>
          <w:sz w:val="24"/>
          <w:szCs w:val="24"/>
        </w:rPr>
        <w:t>al</w:t>
      </w:r>
      <w:r w:rsidR="004C70AC" w:rsidRPr="000E029E">
        <w:rPr>
          <w:sz w:val="24"/>
          <w:szCs w:val="24"/>
        </w:rPr>
        <w:t xml:space="preserve"> outcomes for </w:t>
      </w:r>
      <w:r w:rsidR="009A057A" w:rsidRPr="000E029E">
        <w:rPr>
          <w:sz w:val="24"/>
          <w:szCs w:val="24"/>
        </w:rPr>
        <w:t>disabled</w:t>
      </w:r>
      <w:r w:rsidR="004C70AC" w:rsidRPr="000E029E">
        <w:rPr>
          <w:sz w:val="24"/>
          <w:szCs w:val="24"/>
        </w:rPr>
        <w:t xml:space="preserve"> people included the following activities:</w:t>
      </w:r>
    </w:p>
    <w:p w14:paraId="60A27563" w14:textId="73DE5653" w:rsidR="004C70AC" w:rsidRPr="000E029E" w:rsidRDefault="006C2E3F" w:rsidP="00693F90">
      <w:pPr>
        <w:pStyle w:val="USBullet1"/>
        <w:rPr>
          <w:sz w:val="24"/>
          <w:szCs w:val="24"/>
        </w:rPr>
      </w:pPr>
      <w:r w:rsidRPr="000E029E">
        <w:rPr>
          <w:sz w:val="24"/>
          <w:szCs w:val="24"/>
        </w:rPr>
        <w:t xml:space="preserve">Analysis of statistics and outcomes </w:t>
      </w:r>
      <w:r w:rsidR="00A612CF" w:rsidRPr="000E029E">
        <w:rPr>
          <w:sz w:val="24"/>
          <w:szCs w:val="24"/>
        </w:rPr>
        <w:t>associated</w:t>
      </w:r>
      <w:r w:rsidRPr="000E029E">
        <w:rPr>
          <w:sz w:val="24"/>
          <w:szCs w:val="24"/>
        </w:rPr>
        <w:t xml:space="preserve"> with labour force trends and education</w:t>
      </w:r>
    </w:p>
    <w:p w14:paraId="2A891F24" w14:textId="5D53E77C" w:rsidR="00A33E34" w:rsidRPr="000E029E" w:rsidRDefault="00A33E34" w:rsidP="00693F90">
      <w:pPr>
        <w:pStyle w:val="USBullet1"/>
        <w:rPr>
          <w:sz w:val="24"/>
          <w:szCs w:val="24"/>
        </w:rPr>
      </w:pPr>
      <w:r w:rsidRPr="000E029E">
        <w:rPr>
          <w:sz w:val="24"/>
          <w:szCs w:val="24"/>
        </w:rPr>
        <w:t>Comparison of outcomes among the disabled and non-disabled</w:t>
      </w:r>
      <w:r w:rsidR="0032789A" w:rsidRPr="000E029E">
        <w:rPr>
          <w:sz w:val="24"/>
          <w:szCs w:val="24"/>
        </w:rPr>
        <w:t xml:space="preserve"> people</w:t>
      </w:r>
    </w:p>
    <w:p w14:paraId="62A13430" w14:textId="41E63511" w:rsidR="00A33E34" w:rsidRPr="000E029E" w:rsidRDefault="008D2EE5" w:rsidP="00693F90">
      <w:pPr>
        <w:pStyle w:val="USBullet1"/>
        <w:rPr>
          <w:sz w:val="24"/>
          <w:szCs w:val="24"/>
        </w:rPr>
      </w:pPr>
      <w:r w:rsidRPr="000E029E">
        <w:rPr>
          <w:sz w:val="24"/>
          <w:szCs w:val="24"/>
        </w:rPr>
        <w:lastRenderedPageBreak/>
        <w:t>Reviewing the literature on the benefits of employment and educational attainment, as well as the economic and social consequences of pro</w:t>
      </w:r>
      <w:r w:rsidR="00415FB3" w:rsidRPr="000E029E">
        <w:rPr>
          <w:sz w:val="24"/>
          <w:szCs w:val="24"/>
        </w:rPr>
        <w:t>longed unemployment or welfare dep</w:t>
      </w:r>
      <w:r w:rsidR="001B12D0" w:rsidRPr="000E029E">
        <w:rPr>
          <w:sz w:val="24"/>
          <w:szCs w:val="24"/>
        </w:rPr>
        <w:t>endency</w:t>
      </w:r>
      <w:r w:rsidR="00A612CF" w:rsidRPr="000E029E">
        <w:rPr>
          <w:sz w:val="24"/>
          <w:szCs w:val="24"/>
        </w:rPr>
        <w:t>.</w:t>
      </w:r>
    </w:p>
    <w:p w14:paraId="7E37134F" w14:textId="63FDCCF7" w:rsidR="00471946" w:rsidRPr="000E029E" w:rsidRDefault="007F0C0D" w:rsidP="00471946">
      <w:pPr>
        <w:pStyle w:val="USBullet1"/>
        <w:numPr>
          <w:ilvl w:val="0"/>
          <w:numId w:val="0"/>
        </w:numPr>
        <w:ind w:left="851"/>
        <w:rPr>
          <w:sz w:val="24"/>
          <w:szCs w:val="24"/>
        </w:rPr>
      </w:pPr>
      <w:r w:rsidRPr="000E029E">
        <w:rPr>
          <w:sz w:val="24"/>
          <w:szCs w:val="24"/>
        </w:rPr>
        <w:t xml:space="preserve">The </w:t>
      </w:r>
      <w:r w:rsidR="00471946" w:rsidRPr="000E029E">
        <w:rPr>
          <w:sz w:val="24"/>
          <w:szCs w:val="24"/>
        </w:rPr>
        <w:t xml:space="preserve">following </w:t>
      </w:r>
      <w:r w:rsidR="00C220FE" w:rsidRPr="000E029E">
        <w:rPr>
          <w:sz w:val="24"/>
          <w:szCs w:val="24"/>
        </w:rPr>
        <w:t>activities</w:t>
      </w:r>
      <w:r w:rsidR="00471946" w:rsidRPr="000E029E">
        <w:rPr>
          <w:sz w:val="24"/>
          <w:szCs w:val="24"/>
        </w:rPr>
        <w:t xml:space="preserve"> are outside the scope of this research: primary data gathering, interv</w:t>
      </w:r>
      <w:r w:rsidR="00C220FE" w:rsidRPr="000E029E">
        <w:rPr>
          <w:sz w:val="24"/>
          <w:szCs w:val="24"/>
        </w:rPr>
        <w:t>iews and surveys.</w:t>
      </w:r>
    </w:p>
    <w:p w14:paraId="47E207CB" w14:textId="3BF1906D" w:rsidR="003A4382" w:rsidRDefault="003A4382">
      <w:pPr>
        <w:spacing w:after="160" w:line="259" w:lineRule="auto"/>
      </w:pPr>
      <w:r>
        <w:br w:type="page"/>
      </w:r>
    </w:p>
    <w:p w14:paraId="19E49FFF" w14:textId="262BE28F" w:rsidR="008D5D65" w:rsidRDefault="008D5D65" w:rsidP="003A4382">
      <w:pPr>
        <w:pStyle w:val="Heading1"/>
      </w:pPr>
      <w:bookmarkStart w:id="3" w:name="_Toc220924661"/>
      <w:r>
        <w:lastRenderedPageBreak/>
        <w:t>Disability</w:t>
      </w:r>
      <w:r w:rsidR="009C66A9">
        <w:t>, education</w:t>
      </w:r>
      <w:r w:rsidR="00BA56E8">
        <w:t>al</w:t>
      </w:r>
      <w:r w:rsidR="009C66A9">
        <w:t xml:space="preserve"> and </w:t>
      </w:r>
      <w:r w:rsidR="00B52593">
        <w:t xml:space="preserve">labour market </w:t>
      </w:r>
      <w:r w:rsidR="002A5E21">
        <w:t>outcomes</w:t>
      </w:r>
      <w:r w:rsidR="00B52593">
        <w:t xml:space="preserve"> at a </w:t>
      </w:r>
      <w:r w:rsidR="002870B0">
        <w:t>glance</w:t>
      </w:r>
      <w:bookmarkEnd w:id="3"/>
    </w:p>
    <w:p w14:paraId="40E5ACCD" w14:textId="4470B322" w:rsidR="0007449B" w:rsidRPr="000E029E" w:rsidRDefault="007A2B04" w:rsidP="0007449B">
      <w:pPr>
        <w:pStyle w:val="USBodyText"/>
        <w:rPr>
          <w:sz w:val="24"/>
          <w:szCs w:val="24"/>
        </w:rPr>
      </w:pPr>
      <w:r w:rsidRPr="000E029E">
        <w:rPr>
          <w:sz w:val="24"/>
          <w:szCs w:val="24"/>
        </w:rPr>
        <w:t xml:space="preserve">Labour market outcomes for disabled people are materially different from those of </w:t>
      </w:r>
      <w:r w:rsidR="008A3964" w:rsidRPr="000E029E">
        <w:rPr>
          <w:sz w:val="24"/>
          <w:szCs w:val="24"/>
        </w:rPr>
        <w:t>non-disabled</w:t>
      </w:r>
      <w:r w:rsidRPr="000E029E">
        <w:rPr>
          <w:sz w:val="24"/>
          <w:szCs w:val="24"/>
        </w:rPr>
        <w:t xml:space="preserve"> people</w:t>
      </w:r>
      <w:r w:rsidR="002A5E21" w:rsidRPr="000E029E">
        <w:rPr>
          <w:sz w:val="24"/>
          <w:szCs w:val="24"/>
        </w:rPr>
        <w:t>.</w:t>
      </w:r>
      <w:r w:rsidR="00A87A08" w:rsidRPr="000E029E">
        <w:rPr>
          <w:sz w:val="24"/>
          <w:szCs w:val="24"/>
        </w:rPr>
        <w:t xml:space="preserve"> The</w:t>
      </w:r>
      <w:r w:rsidR="00C851CD" w:rsidRPr="000E029E">
        <w:rPr>
          <w:sz w:val="24"/>
          <w:szCs w:val="24"/>
        </w:rPr>
        <w:t xml:space="preserve"> Household Labour </w:t>
      </w:r>
      <w:r w:rsidR="004E63EA" w:rsidRPr="000E029E">
        <w:rPr>
          <w:sz w:val="24"/>
          <w:szCs w:val="24"/>
        </w:rPr>
        <w:t>F</w:t>
      </w:r>
      <w:r w:rsidR="00C851CD" w:rsidRPr="000E029E">
        <w:rPr>
          <w:sz w:val="24"/>
          <w:szCs w:val="24"/>
        </w:rPr>
        <w:t>orce Survey (June quarter) 202</w:t>
      </w:r>
      <w:r w:rsidR="00D606D3" w:rsidRPr="000E029E">
        <w:rPr>
          <w:sz w:val="24"/>
          <w:szCs w:val="24"/>
        </w:rPr>
        <w:t>5</w:t>
      </w:r>
      <w:r w:rsidR="00A7671C" w:rsidRPr="000E029E">
        <w:rPr>
          <w:sz w:val="24"/>
          <w:szCs w:val="24"/>
        </w:rPr>
        <w:t xml:space="preserve"> </w:t>
      </w:r>
      <w:r w:rsidR="00A7671C" w:rsidRPr="000E029E">
        <w:rPr>
          <w:sz w:val="24"/>
          <w:szCs w:val="24"/>
        </w:rPr>
        <w:fldChar w:fldCharType="begin"/>
      </w:r>
      <w:r w:rsidR="00B149C2">
        <w:rPr>
          <w:sz w:val="24"/>
          <w:szCs w:val="24"/>
        </w:rPr>
        <w:instrText xml:space="preserve"> ADDIN ZOTERO_ITEM CSL_CITATION {"citationID":"zzLWLTlM","properties":{"formattedCitation":"(Stats NZ 2025)","plainCitation":"(Stats NZ 2025)","noteIndex":0},"citationItems":[{"id":85125,"uris":["http://zotero.org/groups/2546341/items/Z4S7BISY"],"itemData":{"id":85125,"type":"book","title":"Household Labour Force Survey","author":[{"literal":"Stats NZ"}],"issued":{"date-parts":[["2025"]]}}}],"schema":"https://github.com/citation-style-language/schema/raw/master/csl-citation.json"} </w:instrText>
      </w:r>
      <w:r w:rsidR="00A7671C" w:rsidRPr="000E029E">
        <w:rPr>
          <w:sz w:val="24"/>
          <w:szCs w:val="24"/>
        </w:rPr>
        <w:fldChar w:fldCharType="separate"/>
      </w:r>
      <w:r w:rsidR="00A7671C" w:rsidRPr="000E029E">
        <w:rPr>
          <w:rFonts w:cs="Calibri"/>
          <w:sz w:val="24"/>
          <w:szCs w:val="24"/>
        </w:rPr>
        <w:t>(Stats NZ 2025)</w:t>
      </w:r>
      <w:r w:rsidR="00A7671C" w:rsidRPr="000E029E">
        <w:rPr>
          <w:sz w:val="24"/>
          <w:szCs w:val="24"/>
        </w:rPr>
        <w:fldChar w:fldCharType="end"/>
      </w:r>
      <w:r w:rsidR="00C851CD" w:rsidRPr="000E029E">
        <w:rPr>
          <w:sz w:val="24"/>
          <w:szCs w:val="24"/>
        </w:rPr>
        <w:t xml:space="preserve"> shows the radical </w:t>
      </w:r>
      <w:r w:rsidR="0007449B" w:rsidRPr="000E029E">
        <w:rPr>
          <w:sz w:val="24"/>
          <w:szCs w:val="24"/>
        </w:rPr>
        <w:t xml:space="preserve">difference in labour market outcomes for </w:t>
      </w:r>
      <w:r w:rsidR="008A3964" w:rsidRPr="000E029E">
        <w:rPr>
          <w:sz w:val="24"/>
          <w:szCs w:val="24"/>
        </w:rPr>
        <w:t xml:space="preserve">disabled </w:t>
      </w:r>
      <w:r w:rsidR="0007449B" w:rsidRPr="000E029E">
        <w:rPr>
          <w:sz w:val="24"/>
          <w:szCs w:val="24"/>
        </w:rPr>
        <w:t xml:space="preserve">people compared to the general population. </w:t>
      </w:r>
      <w:r w:rsidR="005E706B" w:rsidRPr="000E029E">
        <w:rPr>
          <w:sz w:val="24"/>
          <w:szCs w:val="24"/>
        </w:rPr>
        <w:fldChar w:fldCharType="begin"/>
      </w:r>
      <w:r w:rsidR="005E706B" w:rsidRPr="000E029E">
        <w:rPr>
          <w:sz w:val="24"/>
          <w:szCs w:val="24"/>
        </w:rPr>
        <w:instrText xml:space="preserve"> REF _Ref202525994 \h </w:instrText>
      </w:r>
      <w:r w:rsidR="001734E0">
        <w:rPr>
          <w:sz w:val="24"/>
          <w:szCs w:val="24"/>
        </w:rPr>
        <w:instrText xml:space="preserve"> \* MERGEFORMAT </w:instrText>
      </w:r>
      <w:r w:rsidR="005E706B" w:rsidRPr="000E029E">
        <w:rPr>
          <w:sz w:val="24"/>
          <w:szCs w:val="24"/>
        </w:rPr>
      </w:r>
      <w:r w:rsidR="005E706B" w:rsidRPr="000E029E">
        <w:rPr>
          <w:sz w:val="24"/>
          <w:szCs w:val="24"/>
        </w:rPr>
        <w:fldChar w:fldCharType="separate"/>
      </w:r>
      <w:r w:rsidR="006E35CE" w:rsidRPr="001061FE">
        <w:rPr>
          <w:sz w:val="24"/>
          <w:szCs w:val="24"/>
        </w:rPr>
        <w:t>Figure 1</w:t>
      </w:r>
      <w:r w:rsidR="005E706B" w:rsidRPr="000E029E">
        <w:rPr>
          <w:sz w:val="24"/>
          <w:szCs w:val="24"/>
        </w:rPr>
        <w:fldChar w:fldCharType="end"/>
      </w:r>
      <w:r w:rsidR="005E706B" w:rsidRPr="000E029E">
        <w:rPr>
          <w:sz w:val="24"/>
          <w:szCs w:val="24"/>
        </w:rPr>
        <w:t xml:space="preserve"> </w:t>
      </w:r>
      <w:r w:rsidR="0007449B" w:rsidRPr="000E029E">
        <w:rPr>
          <w:sz w:val="24"/>
          <w:szCs w:val="24"/>
        </w:rPr>
        <w:t>presents a comparison of key labour market indicators between disabled and non-disabled populations</w:t>
      </w:r>
      <w:r w:rsidR="005157BD" w:rsidRPr="000E029E">
        <w:rPr>
          <w:sz w:val="24"/>
          <w:szCs w:val="24"/>
        </w:rPr>
        <w:t xml:space="preserve"> aged 15 </w:t>
      </w:r>
      <w:r w:rsidR="00E53EB9" w:rsidRPr="000E029E">
        <w:rPr>
          <w:sz w:val="24"/>
          <w:szCs w:val="24"/>
        </w:rPr>
        <w:t xml:space="preserve">to </w:t>
      </w:r>
      <w:r w:rsidR="005157BD" w:rsidRPr="000E029E">
        <w:rPr>
          <w:sz w:val="24"/>
          <w:szCs w:val="24"/>
        </w:rPr>
        <w:t>64 year</w:t>
      </w:r>
      <w:r w:rsidR="00F84299" w:rsidRPr="000E029E">
        <w:rPr>
          <w:sz w:val="24"/>
          <w:szCs w:val="24"/>
        </w:rPr>
        <w:t>s</w:t>
      </w:r>
      <w:r w:rsidR="0007449B" w:rsidRPr="000E029E">
        <w:rPr>
          <w:sz w:val="24"/>
          <w:szCs w:val="24"/>
        </w:rPr>
        <w:t xml:space="preserve">. It illustrates </w:t>
      </w:r>
      <w:r w:rsidR="00D06CC5" w:rsidRPr="000E029E">
        <w:rPr>
          <w:sz w:val="24"/>
          <w:szCs w:val="24"/>
        </w:rPr>
        <w:t>differences in labour force participation, employment rates, unemployment rates, and underutilisation rates, providing a snapshot of the labour-</w:t>
      </w:r>
      <w:r w:rsidR="0007449B" w:rsidRPr="000E029E">
        <w:rPr>
          <w:sz w:val="24"/>
          <w:szCs w:val="24"/>
        </w:rPr>
        <w:t>market disadvantage faced by disabled people.</w:t>
      </w:r>
    </w:p>
    <w:p w14:paraId="1DED2DAC" w14:textId="5AB5C71C" w:rsidR="004F7F25" w:rsidRPr="000E029E" w:rsidRDefault="004F7F25" w:rsidP="0007449B">
      <w:pPr>
        <w:pStyle w:val="USBodyText"/>
        <w:rPr>
          <w:sz w:val="24"/>
          <w:szCs w:val="24"/>
        </w:rPr>
      </w:pPr>
      <w:r w:rsidRPr="000E029E">
        <w:rPr>
          <w:sz w:val="24"/>
          <w:szCs w:val="24"/>
        </w:rPr>
        <w:t xml:space="preserve">The key metrics are </w:t>
      </w:r>
      <w:r w:rsidR="005E706B" w:rsidRPr="000E029E">
        <w:rPr>
          <w:sz w:val="24"/>
          <w:szCs w:val="24"/>
        </w:rPr>
        <w:t>defined</w:t>
      </w:r>
      <w:r w:rsidRPr="000E029E">
        <w:rPr>
          <w:sz w:val="24"/>
          <w:szCs w:val="24"/>
        </w:rPr>
        <w:t xml:space="preserve"> as follows</w:t>
      </w:r>
      <w:r w:rsidR="00EF796E" w:rsidRPr="000E029E">
        <w:rPr>
          <w:sz w:val="24"/>
          <w:szCs w:val="24"/>
        </w:rPr>
        <w:t xml:space="preserve">: </w:t>
      </w:r>
    </w:p>
    <w:p w14:paraId="69E9F2E6" w14:textId="4A6DB14D" w:rsidR="00D52245" w:rsidRPr="000E029E" w:rsidRDefault="00D52245" w:rsidP="00D52245">
      <w:pPr>
        <w:pStyle w:val="USBullet1"/>
        <w:rPr>
          <w:sz w:val="24"/>
          <w:szCs w:val="24"/>
        </w:rPr>
      </w:pPr>
      <w:r w:rsidRPr="000E029E">
        <w:rPr>
          <w:b/>
          <w:bCs/>
          <w:sz w:val="24"/>
          <w:szCs w:val="24"/>
        </w:rPr>
        <w:t xml:space="preserve">Labour </w:t>
      </w:r>
      <w:r w:rsidR="00CB08E8" w:rsidRPr="000E029E">
        <w:rPr>
          <w:b/>
          <w:bCs/>
          <w:sz w:val="24"/>
          <w:szCs w:val="24"/>
        </w:rPr>
        <w:t>f</w:t>
      </w:r>
      <w:r w:rsidRPr="000E029E">
        <w:rPr>
          <w:b/>
          <w:bCs/>
          <w:sz w:val="24"/>
          <w:szCs w:val="24"/>
        </w:rPr>
        <w:t xml:space="preserve">orce </w:t>
      </w:r>
      <w:r w:rsidR="00CB08E8" w:rsidRPr="000E029E">
        <w:rPr>
          <w:b/>
          <w:bCs/>
          <w:sz w:val="24"/>
          <w:szCs w:val="24"/>
        </w:rPr>
        <w:t>p</w:t>
      </w:r>
      <w:r w:rsidRPr="000E029E">
        <w:rPr>
          <w:b/>
          <w:bCs/>
          <w:sz w:val="24"/>
          <w:szCs w:val="24"/>
        </w:rPr>
        <w:t xml:space="preserve">articipation </w:t>
      </w:r>
      <w:r w:rsidR="00CB08E8" w:rsidRPr="000E029E">
        <w:rPr>
          <w:b/>
          <w:bCs/>
          <w:sz w:val="24"/>
          <w:szCs w:val="24"/>
        </w:rPr>
        <w:t>r</w:t>
      </w:r>
      <w:r w:rsidRPr="000E029E">
        <w:rPr>
          <w:b/>
          <w:bCs/>
          <w:sz w:val="24"/>
          <w:szCs w:val="24"/>
        </w:rPr>
        <w:t>ate</w:t>
      </w:r>
      <w:r w:rsidRPr="000E029E">
        <w:rPr>
          <w:sz w:val="24"/>
          <w:szCs w:val="24"/>
        </w:rPr>
        <w:t>: The proportion of the working-age population that is either employed or actively seeking employment</w:t>
      </w:r>
      <w:r w:rsidR="00710F80" w:rsidRPr="000E029E">
        <w:rPr>
          <w:sz w:val="24"/>
          <w:szCs w:val="24"/>
        </w:rPr>
        <w:t xml:space="preserve"> and available to </w:t>
      </w:r>
      <w:r w:rsidR="006C61A9" w:rsidRPr="000E029E">
        <w:rPr>
          <w:sz w:val="24"/>
          <w:szCs w:val="24"/>
        </w:rPr>
        <w:t>work</w:t>
      </w:r>
      <w:r w:rsidRPr="000E029E">
        <w:rPr>
          <w:sz w:val="24"/>
          <w:szCs w:val="24"/>
        </w:rPr>
        <w:t>. It measures the degree of active engagement in the labour market.</w:t>
      </w:r>
    </w:p>
    <w:p w14:paraId="4F186401" w14:textId="6D37B59B" w:rsidR="00D52245" w:rsidRPr="000E029E" w:rsidRDefault="00D52245" w:rsidP="00D52245">
      <w:pPr>
        <w:pStyle w:val="USBullet1"/>
        <w:rPr>
          <w:sz w:val="24"/>
          <w:szCs w:val="24"/>
        </w:rPr>
      </w:pPr>
      <w:r w:rsidRPr="000E029E">
        <w:rPr>
          <w:b/>
          <w:bCs/>
          <w:sz w:val="24"/>
          <w:szCs w:val="24"/>
        </w:rPr>
        <w:t xml:space="preserve">Employment </w:t>
      </w:r>
      <w:r w:rsidR="00CB08E8" w:rsidRPr="000E029E">
        <w:rPr>
          <w:b/>
          <w:bCs/>
          <w:sz w:val="24"/>
          <w:szCs w:val="24"/>
        </w:rPr>
        <w:t>r</w:t>
      </w:r>
      <w:r w:rsidRPr="000E029E">
        <w:rPr>
          <w:b/>
          <w:bCs/>
          <w:sz w:val="24"/>
          <w:szCs w:val="24"/>
        </w:rPr>
        <w:t>ate:</w:t>
      </w:r>
      <w:r w:rsidRPr="000E029E">
        <w:rPr>
          <w:sz w:val="24"/>
          <w:szCs w:val="24"/>
        </w:rPr>
        <w:t xml:space="preserve"> The proportion of the working-age population that is currently employed. It indicates the share of people who have jobs out of the total working-age population.</w:t>
      </w:r>
    </w:p>
    <w:p w14:paraId="75C15D44" w14:textId="0D3EE4F6" w:rsidR="00D52245" w:rsidRPr="000E029E" w:rsidRDefault="00D52245" w:rsidP="00D52245">
      <w:pPr>
        <w:pStyle w:val="USBullet1"/>
        <w:rPr>
          <w:sz w:val="24"/>
          <w:szCs w:val="24"/>
        </w:rPr>
      </w:pPr>
      <w:r w:rsidRPr="000E029E">
        <w:rPr>
          <w:b/>
          <w:bCs/>
          <w:sz w:val="24"/>
          <w:szCs w:val="24"/>
        </w:rPr>
        <w:t xml:space="preserve">Unemployment </w:t>
      </w:r>
      <w:r w:rsidR="00CB08E8" w:rsidRPr="000E029E">
        <w:rPr>
          <w:b/>
          <w:bCs/>
          <w:sz w:val="24"/>
          <w:szCs w:val="24"/>
        </w:rPr>
        <w:t>r</w:t>
      </w:r>
      <w:r w:rsidRPr="000E029E">
        <w:rPr>
          <w:b/>
          <w:bCs/>
          <w:sz w:val="24"/>
          <w:szCs w:val="24"/>
        </w:rPr>
        <w:t>ate:</w:t>
      </w:r>
      <w:r w:rsidRPr="000E029E">
        <w:rPr>
          <w:sz w:val="24"/>
          <w:szCs w:val="24"/>
        </w:rPr>
        <w:t xml:space="preserve"> The proportion of the labour force that is not employed but is actively seeking work and available to start. It is calculated as the number of unemployed people divided by the total labour force.</w:t>
      </w:r>
    </w:p>
    <w:p w14:paraId="6290EABA" w14:textId="0DB43CA4" w:rsidR="007D0E17" w:rsidRPr="000E029E" w:rsidRDefault="006A79B0" w:rsidP="007E6F2F">
      <w:pPr>
        <w:pStyle w:val="USBullet1"/>
        <w:rPr>
          <w:sz w:val="24"/>
          <w:szCs w:val="24"/>
        </w:rPr>
      </w:pPr>
      <w:r w:rsidRPr="000E029E">
        <w:rPr>
          <w:b/>
          <w:bCs/>
          <w:sz w:val="24"/>
          <w:szCs w:val="24"/>
        </w:rPr>
        <w:t>Underutilisation</w:t>
      </w:r>
      <w:r w:rsidR="009D312A" w:rsidRPr="000E029E">
        <w:rPr>
          <w:b/>
          <w:bCs/>
          <w:sz w:val="24"/>
          <w:szCs w:val="24"/>
        </w:rPr>
        <w:t xml:space="preserve"> rate</w:t>
      </w:r>
      <w:r w:rsidRPr="000E029E">
        <w:rPr>
          <w:sz w:val="24"/>
          <w:szCs w:val="24"/>
        </w:rPr>
        <w:t xml:space="preserve">: </w:t>
      </w:r>
      <w:r w:rsidR="007E6F2F" w:rsidRPr="000E029E">
        <w:rPr>
          <w:sz w:val="24"/>
          <w:szCs w:val="24"/>
        </w:rPr>
        <w:t>The underutilisation rate provides a broader indicator of spare capacity in the labour market beyond unemployment alone. It encompasses four groups: those who are unemployed (not in paid work but actively seeking and available for employment), underemployed (working fewer than 30 hours per week and wanting and available to work more hours), available potential job seekers (willing and available to work but not actively seeking a job), and unavailable job seekers (actively looking for work but currently unavailable to start, though expected to be available within the next month).</w:t>
      </w:r>
    </w:p>
    <w:p w14:paraId="74306798" w14:textId="43979A35" w:rsidR="005D2651" w:rsidRPr="00731CA6" w:rsidRDefault="005D2651" w:rsidP="005D2651">
      <w:pPr>
        <w:pStyle w:val="FigureCaption"/>
      </w:pPr>
      <w:bookmarkStart w:id="4" w:name="_Ref202525994"/>
      <w:bookmarkStart w:id="5" w:name="_Toc220924800"/>
      <w:r w:rsidRPr="00731CA6">
        <w:lastRenderedPageBreak/>
        <w:t>Figure </w:t>
      </w:r>
      <w:r w:rsidR="00A261CA">
        <w:fldChar w:fldCharType="begin"/>
      </w:r>
      <w:r w:rsidR="00A261CA">
        <w:instrText xml:space="preserve"> SEQ Figure \* ARABIC </w:instrText>
      </w:r>
      <w:r w:rsidR="00A261CA">
        <w:fldChar w:fldCharType="separate"/>
      </w:r>
      <w:r w:rsidR="006E35CE">
        <w:rPr>
          <w:noProof/>
        </w:rPr>
        <w:t>1</w:t>
      </w:r>
      <w:r w:rsidR="00A261CA">
        <w:rPr>
          <w:noProof/>
        </w:rPr>
        <w:fldChar w:fldCharType="end"/>
      </w:r>
      <w:bookmarkEnd w:id="4"/>
      <w:r w:rsidRPr="00731CA6">
        <w:t xml:space="preserve"> </w:t>
      </w:r>
      <w:r w:rsidR="00550DEF">
        <w:t>Comparing labour market outcomes</w:t>
      </w:r>
      <w:bookmarkEnd w:id="5"/>
    </w:p>
    <w:p w14:paraId="5BF72586" w14:textId="4070C36D" w:rsidR="004350B3" w:rsidRDefault="00331162" w:rsidP="00F36CE5">
      <w:pPr>
        <w:pStyle w:val="CaptionSubheading"/>
      </w:pPr>
      <w:r>
        <w:t>People aged 15 years and over</w:t>
      </w:r>
    </w:p>
    <w:p w14:paraId="79961543" w14:textId="293703CE" w:rsidR="00602FDD" w:rsidRPr="00731CA6" w:rsidRDefault="00415978" w:rsidP="00F36CE5">
      <w:pPr>
        <w:pStyle w:val="CaptionSubheading"/>
      </w:pPr>
      <w:r>
        <w:rPr>
          <w:noProof/>
        </w:rPr>
        <w:drawing>
          <wp:inline distT="0" distB="0" distL="0" distR="0" wp14:anchorId="3E99CD34" wp14:editId="0A3B75C3">
            <wp:extent cx="5153891" cy="3503243"/>
            <wp:effectExtent l="0" t="0" r="8890" b="2540"/>
            <wp:docPr id="1945459454" name="Picture 10" descr="Bar chart comparing labor market indicators for disabled and non-disabled groups, showing four categories: labor force participation rate, employment rate, unemployment rate, and underutilization rate. Non-disabled group has higher participation (72.9%) and employment rates (69.3%), while disabled group shows higher unemployment (12.6%) and underutilization rates (22.8%), with blue bars representing disabled and pink bars representing non-disable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459454" name="Picture 10" descr="Bar chart comparing labor market indicators for disabled and non-disabled groups, showing four categories: labor force participation rate, employment rate, unemployment rate, and underutilization rate. Non-disabled group has higher participation (72.9%) and employment rates (69.3%), while disabled group shows higher unemployment (12.6%) and underutilization rates (22.8%), with blue bars representing disabled and pink bars representing non-disabled.&#10;&#10;AI-generated content may be incorrec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65548" cy="3511166"/>
                    </a:xfrm>
                    <a:prstGeom prst="rect">
                      <a:avLst/>
                    </a:prstGeom>
                    <a:noFill/>
                  </pic:spPr>
                </pic:pic>
              </a:graphicData>
            </a:graphic>
          </wp:inline>
        </w:drawing>
      </w:r>
    </w:p>
    <w:p w14:paraId="1447FB47" w14:textId="6AB58748" w:rsidR="005D2651" w:rsidRPr="00731CA6" w:rsidRDefault="005D2651" w:rsidP="005D2651">
      <w:pPr>
        <w:pStyle w:val="USSource"/>
      </w:pPr>
      <w:r w:rsidRPr="00731CA6">
        <w:t xml:space="preserve">Source: </w:t>
      </w:r>
      <w:r w:rsidR="00153561">
        <w:fldChar w:fldCharType="begin"/>
      </w:r>
      <w:r w:rsidR="00B149C2">
        <w:instrText xml:space="preserve"> ADDIN ZOTERO_ITEM CSL_CITATION {"citationID":"kU3wU3yA","properties":{"formattedCitation":"(Stats NZ 2025)","plainCitation":"(Stats NZ 2025)","dontUpdate":true,"noteIndex":0},"citationItems":[{"id":85125,"uris":["http://zotero.org/groups/2546341/items/Z4S7BISY"],"itemData":{"id":85125,"type":"book","title":"Household Labour Force Survey","author":[{"literal":"Stats NZ"}],"issued":{"date-parts":[["2025"]]}}}],"schema":"https://github.com/citation-style-language/schema/raw/master/csl-citation.json"} </w:instrText>
      </w:r>
      <w:r w:rsidR="00153561">
        <w:fldChar w:fldCharType="separate"/>
      </w:r>
      <w:r w:rsidR="00153561" w:rsidRPr="00153561">
        <w:rPr>
          <w:rFonts w:cs="Calibri"/>
        </w:rPr>
        <w:t xml:space="preserve">Stats NZ </w:t>
      </w:r>
      <w:r w:rsidR="00153561">
        <w:rPr>
          <w:rFonts w:cs="Calibri"/>
        </w:rPr>
        <w:t>(</w:t>
      </w:r>
      <w:r w:rsidR="00153561" w:rsidRPr="00153561">
        <w:rPr>
          <w:rFonts w:cs="Calibri"/>
        </w:rPr>
        <w:t>2025)</w:t>
      </w:r>
      <w:r w:rsidR="00153561">
        <w:fldChar w:fldCharType="end"/>
      </w:r>
    </w:p>
    <w:p w14:paraId="0EF84EE7" w14:textId="7049DAF9" w:rsidR="000C0E27" w:rsidRPr="000E029E" w:rsidRDefault="0007449B" w:rsidP="000C0E27">
      <w:pPr>
        <w:pStyle w:val="USBodyText"/>
        <w:rPr>
          <w:sz w:val="24"/>
          <w:szCs w:val="24"/>
        </w:rPr>
      </w:pPr>
      <w:r w:rsidRPr="000E029E">
        <w:rPr>
          <w:sz w:val="24"/>
          <w:szCs w:val="24"/>
        </w:rPr>
        <w:t>The data show that disabled people</w:t>
      </w:r>
      <w:r w:rsidR="004156DC" w:rsidRPr="000E029E">
        <w:rPr>
          <w:sz w:val="24"/>
          <w:szCs w:val="24"/>
        </w:rPr>
        <w:t xml:space="preserve"> aged 15</w:t>
      </w:r>
      <w:r w:rsidR="00FA2BDF" w:rsidRPr="000E029E">
        <w:rPr>
          <w:sz w:val="24"/>
          <w:szCs w:val="24"/>
        </w:rPr>
        <w:t xml:space="preserve">+ </w:t>
      </w:r>
      <w:r w:rsidR="0078320B" w:rsidRPr="000E029E">
        <w:rPr>
          <w:sz w:val="24"/>
          <w:szCs w:val="24"/>
        </w:rPr>
        <w:t>years old</w:t>
      </w:r>
      <w:r w:rsidRPr="000E029E">
        <w:rPr>
          <w:sz w:val="24"/>
          <w:szCs w:val="24"/>
        </w:rPr>
        <w:t xml:space="preserve"> have a labour force participation rate of </w:t>
      </w:r>
      <w:r w:rsidR="00446D62" w:rsidRPr="000E029E">
        <w:rPr>
          <w:sz w:val="24"/>
          <w:szCs w:val="24"/>
        </w:rPr>
        <w:t>26.8</w:t>
      </w:r>
      <w:r w:rsidRPr="000E029E">
        <w:rPr>
          <w:sz w:val="24"/>
          <w:szCs w:val="24"/>
        </w:rPr>
        <w:t xml:space="preserve"> percent, significantly lower than the </w:t>
      </w:r>
      <w:r w:rsidR="00446D62" w:rsidRPr="000E029E">
        <w:rPr>
          <w:sz w:val="24"/>
          <w:szCs w:val="24"/>
        </w:rPr>
        <w:t>72.9</w:t>
      </w:r>
      <w:r w:rsidRPr="000E029E">
        <w:rPr>
          <w:sz w:val="24"/>
          <w:szCs w:val="24"/>
        </w:rPr>
        <w:t xml:space="preserve"> percent rate for non-disabled people. Similarly, the employment rate for disabled people is </w:t>
      </w:r>
      <w:r w:rsidR="00446D62" w:rsidRPr="000E029E">
        <w:rPr>
          <w:sz w:val="24"/>
          <w:szCs w:val="24"/>
        </w:rPr>
        <w:t>23.4</w:t>
      </w:r>
      <w:r w:rsidRPr="000E029E">
        <w:rPr>
          <w:sz w:val="24"/>
          <w:szCs w:val="24"/>
        </w:rPr>
        <w:t xml:space="preserve"> percent, compared to </w:t>
      </w:r>
      <w:r w:rsidR="00446D62" w:rsidRPr="000E029E">
        <w:rPr>
          <w:sz w:val="24"/>
          <w:szCs w:val="24"/>
        </w:rPr>
        <w:t xml:space="preserve">69.3 </w:t>
      </w:r>
      <w:r w:rsidRPr="000E029E">
        <w:rPr>
          <w:sz w:val="24"/>
          <w:szCs w:val="24"/>
        </w:rPr>
        <w:t xml:space="preserve">percent for non-disabled people. These gaps indicate that disabled people are considerably less likely to be actively engaged in the labour market and </w:t>
      </w:r>
      <w:r w:rsidR="00722185" w:rsidRPr="000E029E">
        <w:rPr>
          <w:sz w:val="24"/>
          <w:szCs w:val="24"/>
        </w:rPr>
        <w:t xml:space="preserve">are </w:t>
      </w:r>
      <w:r w:rsidRPr="000E029E">
        <w:rPr>
          <w:sz w:val="24"/>
          <w:szCs w:val="24"/>
        </w:rPr>
        <w:t>much less likely to be employed.</w:t>
      </w:r>
      <w:r w:rsidR="007D0E17" w:rsidRPr="000E029E">
        <w:rPr>
          <w:sz w:val="24"/>
          <w:szCs w:val="24"/>
        </w:rPr>
        <w:t xml:space="preserve"> </w:t>
      </w:r>
      <w:r w:rsidR="000C0E27" w:rsidRPr="000E029E">
        <w:rPr>
          <w:sz w:val="24"/>
          <w:szCs w:val="24"/>
        </w:rPr>
        <w:t>Disabled people face barriers to both entering and remaining in employment. The lower participation and employment rates suggest that many disabled people are excluded from the workforce, potentially due to accessibility issues, discrimination, or insufficient workplace accommodations.</w:t>
      </w:r>
    </w:p>
    <w:p w14:paraId="49BA1E6D" w14:textId="1756C7EB" w:rsidR="00CA6607" w:rsidRPr="000E029E" w:rsidRDefault="00CA6607" w:rsidP="00CA6607">
      <w:pPr>
        <w:pStyle w:val="USBodyText"/>
        <w:rPr>
          <w:sz w:val="24"/>
          <w:szCs w:val="24"/>
        </w:rPr>
      </w:pPr>
      <w:r w:rsidRPr="000E029E">
        <w:rPr>
          <w:sz w:val="24"/>
          <w:szCs w:val="24"/>
        </w:rPr>
        <w:fldChar w:fldCharType="begin"/>
      </w:r>
      <w:r w:rsidRPr="000E029E">
        <w:rPr>
          <w:sz w:val="24"/>
          <w:szCs w:val="24"/>
        </w:rPr>
        <w:instrText xml:space="preserve"> REF _Ref202525994 \h </w:instrText>
      </w:r>
      <w:r w:rsidR="001734E0">
        <w:rPr>
          <w:sz w:val="24"/>
          <w:szCs w:val="24"/>
        </w:rPr>
        <w:instrText xml:space="preserve"> \* MERGEFORMAT </w:instrText>
      </w:r>
      <w:r w:rsidRPr="000E029E">
        <w:rPr>
          <w:sz w:val="24"/>
          <w:szCs w:val="24"/>
        </w:rPr>
      </w:r>
      <w:r w:rsidRPr="000E029E">
        <w:rPr>
          <w:sz w:val="24"/>
          <w:szCs w:val="24"/>
        </w:rPr>
        <w:fldChar w:fldCharType="separate"/>
      </w:r>
      <w:r w:rsidR="006E35CE" w:rsidRPr="001061FE">
        <w:rPr>
          <w:sz w:val="24"/>
          <w:szCs w:val="24"/>
        </w:rPr>
        <w:t>Figure 1</w:t>
      </w:r>
      <w:r w:rsidRPr="000E029E">
        <w:rPr>
          <w:sz w:val="24"/>
          <w:szCs w:val="24"/>
        </w:rPr>
        <w:fldChar w:fldCharType="end"/>
      </w:r>
      <w:r w:rsidRPr="000E029E">
        <w:rPr>
          <w:sz w:val="24"/>
          <w:szCs w:val="24"/>
        </w:rPr>
        <w:t xml:space="preserve"> also highlights a large disparity in the underutilisation rate, which captures people who are unemployed, underemployed, or marginally attached to the labour force. The underutilisation rate is 22.8 percent for disabled people, more than double the 12.2 percent rate for non-disabled people. The high underutilisation rate signals that a significant proportion of disabled people who are available and willing to work are not fully employed, representing an underuse of their skills and capacity.</w:t>
      </w:r>
    </w:p>
    <w:p w14:paraId="0CA9E6FE" w14:textId="746482C1" w:rsidR="00DE7535" w:rsidRPr="000E029E" w:rsidRDefault="0058650D" w:rsidP="00D32D54">
      <w:pPr>
        <w:pStyle w:val="USBodyText"/>
        <w:rPr>
          <w:sz w:val="24"/>
          <w:szCs w:val="24"/>
        </w:rPr>
      </w:pPr>
      <w:r w:rsidRPr="000E029E">
        <w:rPr>
          <w:sz w:val="24"/>
          <w:szCs w:val="24"/>
        </w:rPr>
        <w:t>In 2025, t</w:t>
      </w:r>
      <w:r w:rsidR="0007449B" w:rsidRPr="000E029E">
        <w:rPr>
          <w:sz w:val="24"/>
          <w:szCs w:val="24"/>
        </w:rPr>
        <w:t xml:space="preserve">he unemployment rate for disabled people is </w:t>
      </w:r>
      <w:r w:rsidR="00446D62" w:rsidRPr="000E029E">
        <w:rPr>
          <w:sz w:val="24"/>
          <w:szCs w:val="24"/>
        </w:rPr>
        <w:t>12.6</w:t>
      </w:r>
      <w:r w:rsidR="0007449B" w:rsidRPr="000E029E">
        <w:rPr>
          <w:sz w:val="24"/>
          <w:szCs w:val="24"/>
        </w:rPr>
        <w:t xml:space="preserve"> percent, more than double the </w:t>
      </w:r>
      <w:r w:rsidR="00446D62" w:rsidRPr="000E029E">
        <w:rPr>
          <w:sz w:val="24"/>
          <w:szCs w:val="24"/>
        </w:rPr>
        <w:t>4.9</w:t>
      </w:r>
      <w:r w:rsidR="0007449B" w:rsidRPr="000E029E">
        <w:rPr>
          <w:sz w:val="24"/>
          <w:szCs w:val="24"/>
        </w:rPr>
        <w:t xml:space="preserve"> percent rate for non-disabled </w:t>
      </w:r>
      <w:r w:rsidR="002E76A2" w:rsidRPr="000E029E">
        <w:rPr>
          <w:sz w:val="24"/>
          <w:szCs w:val="24"/>
        </w:rPr>
        <w:t>people (</w:t>
      </w:r>
      <w:r w:rsidR="00AC3B71" w:rsidRPr="000E029E">
        <w:rPr>
          <w:sz w:val="24"/>
          <w:szCs w:val="24"/>
        </w:rPr>
        <w:t xml:space="preserve">see </w:t>
      </w:r>
      <w:r w:rsidR="00AC3B71" w:rsidRPr="000E029E">
        <w:rPr>
          <w:sz w:val="24"/>
          <w:szCs w:val="24"/>
        </w:rPr>
        <w:fldChar w:fldCharType="begin"/>
      </w:r>
      <w:r w:rsidR="00AC3B71" w:rsidRPr="000E029E">
        <w:rPr>
          <w:sz w:val="24"/>
          <w:szCs w:val="24"/>
        </w:rPr>
        <w:instrText xml:space="preserve"> REF _Ref216864449 \h </w:instrText>
      </w:r>
      <w:r w:rsidR="001734E0">
        <w:rPr>
          <w:sz w:val="24"/>
          <w:szCs w:val="24"/>
        </w:rPr>
        <w:instrText xml:space="preserve"> \* MERGEFORMAT </w:instrText>
      </w:r>
      <w:r w:rsidR="00AC3B71" w:rsidRPr="000E029E">
        <w:rPr>
          <w:sz w:val="24"/>
          <w:szCs w:val="24"/>
        </w:rPr>
      </w:r>
      <w:r w:rsidR="00AC3B71" w:rsidRPr="000E029E">
        <w:rPr>
          <w:sz w:val="24"/>
          <w:szCs w:val="24"/>
        </w:rPr>
        <w:fldChar w:fldCharType="separate"/>
      </w:r>
      <w:r w:rsidR="006E35CE" w:rsidRPr="001061FE">
        <w:rPr>
          <w:sz w:val="24"/>
          <w:szCs w:val="24"/>
        </w:rPr>
        <w:t>Figure 2</w:t>
      </w:r>
      <w:r w:rsidR="00AC3B71" w:rsidRPr="000E029E">
        <w:rPr>
          <w:sz w:val="24"/>
          <w:szCs w:val="24"/>
        </w:rPr>
        <w:fldChar w:fldCharType="end"/>
      </w:r>
      <w:r w:rsidR="00AC3B71" w:rsidRPr="000E029E">
        <w:rPr>
          <w:sz w:val="24"/>
          <w:szCs w:val="24"/>
        </w:rPr>
        <w:t xml:space="preserve">). </w:t>
      </w:r>
      <w:r w:rsidR="0007449B" w:rsidRPr="000E029E">
        <w:rPr>
          <w:sz w:val="24"/>
          <w:szCs w:val="24"/>
        </w:rPr>
        <w:t>This suggests that even when disabled people are participating in the labour force, they face greater difficulty securing employment.</w:t>
      </w:r>
      <w:r w:rsidR="007D0E17" w:rsidRPr="000E029E">
        <w:rPr>
          <w:sz w:val="24"/>
          <w:szCs w:val="24"/>
        </w:rPr>
        <w:t xml:space="preserve"> Even when actively seeking work, disabled </w:t>
      </w:r>
      <w:r w:rsidR="007D0E17" w:rsidRPr="000E029E">
        <w:rPr>
          <w:sz w:val="24"/>
          <w:szCs w:val="24"/>
        </w:rPr>
        <w:lastRenderedPageBreak/>
        <w:t>people are less likely to find employment, indicating that the labour market does not adequately accommodate or provide opportunities for this group</w:t>
      </w:r>
      <w:r w:rsidR="001D4336" w:rsidRPr="000E029E">
        <w:rPr>
          <w:sz w:val="24"/>
          <w:szCs w:val="24"/>
        </w:rPr>
        <w:t>.</w:t>
      </w:r>
      <w:r w:rsidR="00D930A1" w:rsidRPr="000E029E">
        <w:rPr>
          <w:sz w:val="24"/>
          <w:szCs w:val="24"/>
        </w:rPr>
        <w:t xml:space="preserve"> </w:t>
      </w:r>
    </w:p>
    <w:p w14:paraId="622EF091" w14:textId="5F3A362E" w:rsidR="0058650D" w:rsidRPr="000E029E" w:rsidRDefault="008D47E1" w:rsidP="00D32D54">
      <w:pPr>
        <w:pStyle w:val="USBodyText"/>
        <w:rPr>
          <w:sz w:val="24"/>
          <w:szCs w:val="24"/>
        </w:rPr>
      </w:pPr>
      <w:r w:rsidRPr="000E029E">
        <w:rPr>
          <w:sz w:val="24"/>
          <w:szCs w:val="24"/>
        </w:rPr>
        <w:t xml:space="preserve">Caution is warranted when interpreting the </w:t>
      </w:r>
      <w:r w:rsidR="00A76646" w:rsidRPr="000E029E">
        <w:rPr>
          <w:sz w:val="24"/>
          <w:szCs w:val="24"/>
        </w:rPr>
        <w:t>trend in the</w:t>
      </w:r>
      <w:r w:rsidR="00E21808" w:rsidRPr="000E029E">
        <w:rPr>
          <w:sz w:val="24"/>
          <w:szCs w:val="24"/>
        </w:rPr>
        <w:t xml:space="preserve"> unemployment rate among disabled </w:t>
      </w:r>
      <w:r w:rsidR="005E1024" w:rsidRPr="000E029E">
        <w:rPr>
          <w:sz w:val="24"/>
          <w:szCs w:val="24"/>
        </w:rPr>
        <w:t>people</w:t>
      </w:r>
      <w:r w:rsidR="00D72B95" w:rsidRPr="000E029E">
        <w:rPr>
          <w:sz w:val="24"/>
          <w:szCs w:val="24"/>
        </w:rPr>
        <w:t>, as the year-on-year</w:t>
      </w:r>
      <w:r w:rsidR="00C66005" w:rsidRPr="000E029E">
        <w:rPr>
          <w:sz w:val="24"/>
          <w:szCs w:val="24"/>
        </w:rPr>
        <w:t xml:space="preserve"> </w:t>
      </w:r>
      <w:r w:rsidR="00D72B95" w:rsidRPr="000E029E">
        <w:rPr>
          <w:sz w:val="24"/>
          <w:szCs w:val="24"/>
        </w:rPr>
        <w:t>c</w:t>
      </w:r>
      <w:r w:rsidR="00F26251" w:rsidRPr="000E029E">
        <w:rPr>
          <w:sz w:val="24"/>
          <w:szCs w:val="24"/>
        </w:rPr>
        <w:t>hange is n</w:t>
      </w:r>
      <w:r w:rsidR="00FA4311" w:rsidRPr="000E029E">
        <w:rPr>
          <w:sz w:val="24"/>
          <w:szCs w:val="24"/>
        </w:rPr>
        <w:t>ot statistically significant</w:t>
      </w:r>
      <w:r w:rsidR="001215F4" w:rsidRPr="000E029E">
        <w:rPr>
          <w:sz w:val="24"/>
          <w:szCs w:val="24"/>
        </w:rPr>
        <w:t>. However</w:t>
      </w:r>
      <w:r w:rsidR="00CE3E04" w:rsidRPr="000E029E">
        <w:rPr>
          <w:sz w:val="24"/>
          <w:szCs w:val="24"/>
        </w:rPr>
        <w:t>,</w:t>
      </w:r>
      <w:r w:rsidR="001215F4" w:rsidRPr="000E029E">
        <w:rPr>
          <w:sz w:val="24"/>
          <w:szCs w:val="24"/>
        </w:rPr>
        <w:t xml:space="preserve"> there is</w:t>
      </w:r>
      <w:r w:rsidR="000118CB" w:rsidRPr="000E029E">
        <w:rPr>
          <w:sz w:val="24"/>
          <w:szCs w:val="24"/>
        </w:rPr>
        <w:t xml:space="preserve"> international</w:t>
      </w:r>
      <w:r w:rsidR="001215F4" w:rsidRPr="000E029E">
        <w:rPr>
          <w:sz w:val="24"/>
          <w:szCs w:val="24"/>
        </w:rPr>
        <w:t xml:space="preserve"> </w:t>
      </w:r>
      <w:r w:rsidR="002F5F2D" w:rsidRPr="000E029E">
        <w:rPr>
          <w:sz w:val="24"/>
          <w:szCs w:val="24"/>
        </w:rPr>
        <w:t xml:space="preserve">evidence that </w:t>
      </w:r>
      <w:r w:rsidR="00CF4F65" w:rsidRPr="000E029E">
        <w:rPr>
          <w:sz w:val="24"/>
          <w:szCs w:val="24"/>
        </w:rPr>
        <w:t>disabled people participating in the labour force are more exposed to the effects of macroeconomic</w:t>
      </w:r>
      <w:r w:rsidR="00EF0E0E" w:rsidRPr="000E029E">
        <w:rPr>
          <w:sz w:val="24"/>
          <w:szCs w:val="24"/>
        </w:rPr>
        <w:t xml:space="preserve"> cycles</w:t>
      </w:r>
      <w:r w:rsidR="00CF4F65" w:rsidRPr="000E029E">
        <w:rPr>
          <w:sz w:val="24"/>
          <w:szCs w:val="24"/>
        </w:rPr>
        <w:t xml:space="preserve"> compared to non</w:t>
      </w:r>
      <w:r w:rsidR="002134A5" w:rsidRPr="000E029E">
        <w:rPr>
          <w:sz w:val="24"/>
          <w:szCs w:val="24"/>
        </w:rPr>
        <w:t>-disabled people.</w:t>
      </w:r>
      <w:r w:rsidR="00DA3D8B" w:rsidRPr="000E029E">
        <w:rPr>
          <w:sz w:val="24"/>
          <w:szCs w:val="24"/>
        </w:rPr>
        <w:t xml:space="preserve"> This </w:t>
      </w:r>
      <w:r w:rsidR="00AB25AE" w:rsidRPr="000E029E">
        <w:rPr>
          <w:sz w:val="24"/>
          <w:szCs w:val="24"/>
        </w:rPr>
        <w:t>phenomenon</w:t>
      </w:r>
      <w:r w:rsidR="00DA3D8B" w:rsidRPr="000E029E">
        <w:rPr>
          <w:sz w:val="24"/>
          <w:szCs w:val="24"/>
        </w:rPr>
        <w:t xml:space="preserve"> has been found in </w:t>
      </w:r>
      <w:r w:rsidR="00000BE7" w:rsidRPr="000E029E">
        <w:rPr>
          <w:sz w:val="24"/>
          <w:szCs w:val="24"/>
        </w:rPr>
        <w:t>research</w:t>
      </w:r>
      <w:r w:rsidR="00DA3D8B" w:rsidRPr="000E029E">
        <w:rPr>
          <w:sz w:val="24"/>
          <w:szCs w:val="24"/>
        </w:rPr>
        <w:t xml:space="preserve"> from the US</w:t>
      </w:r>
      <w:r w:rsidR="00782803" w:rsidRPr="000E029E">
        <w:rPr>
          <w:sz w:val="24"/>
          <w:szCs w:val="24"/>
        </w:rPr>
        <w:t>,</w:t>
      </w:r>
      <w:r w:rsidR="00DA3D8B" w:rsidRPr="000E029E">
        <w:rPr>
          <w:sz w:val="24"/>
          <w:szCs w:val="24"/>
        </w:rPr>
        <w:t xml:space="preserve"> where disabled people </w:t>
      </w:r>
      <w:r w:rsidR="00AB25AE" w:rsidRPr="000E029E">
        <w:rPr>
          <w:sz w:val="24"/>
          <w:szCs w:val="24"/>
        </w:rPr>
        <w:t xml:space="preserve">are </w:t>
      </w:r>
      <w:r w:rsidR="00331B59" w:rsidRPr="000E029E">
        <w:rPr>
          <w:sz w:val="24"/>
          <w:szCs w:val="24"/>
        </w:rPr>
        <w:t>disproportionately</w:t>
      </w:r>
      <w:r w:rsidR="00DA3D8B" w:rsidRPr="000E029E">
        <w:rPr>
          <w:sz w:val="24"/>
          <w:szCs w:val="24"/>
        </w:rPr>
        <w:t xml:space="preserve"> </w:t>
      </w:r>
      <w:r w:rsidR="00117826" w:rsidRPr="000E029E">
        <w:rPr>
          <w:sz w:val="24"/>
          <w:szCs w:val="24"/>
        </w:rPr>
        <w:t xml:space="preserve">impacted in economic recessions </w:t>
      </w:r>
      <w:r w:rsidR="00000BE7" w:rsidRPr="000E029E">
        <w:rPr>
          <w:sz w:val="24"/>
          <w:szCs w:val="24"/>
        </w:rPr>
        <w:fldChar w:fldCharType="begin"/>
      </w:r>
      <w:r w:rsidR="00B149C2">
        <w:rPr>
          <w:sz w:val="24"/>
          <w:szCs w:val="24"/>
        </w:rPr>
        <w:instrText xml:space="preserve"> ADDIN ZOTERO_ITEM CSL_CITATION {"citationID":"5kPFJEym","properties":{"formattedCitation":"(Stapleton 2003)","plainCitation":"(Stapleton 2003)","noteIndex":0},"citationItems":[{"id":90066,"uris":["http://zotero.org/groups/2546341/items/9E238NB3"],"itemData":{"id":90066,"type":"book","abstract":"This volume reports on the employment decline of working-age people with disabilities. The contributors provide documentation of the decline, an evaluation of its conflicting causes, and the implications for public policy.","ISBN":"978-0-88099-260-2","language":"en","note":"Google-Books-ID: aSiCCLKHOL0C","number-of-pages":"448","publisher":"W.E. Upjohn Institute","source":"Google Books","title":"The Decline in Employment of People with Disabilities: A Policy Puzzle","title-short":"The Decline in Employment of People with Disabilities","author":[{"family":"Stapleton","given":"David C."}],"issued":{"date-parts":[["2003"]]}}}],"schema":"https://github.com/citation-style-language/schema/raw/master/csl-citation.json"} </w:instrText>
      </w:r>
      <w:r w:rsidR="00000BE7" w:rsidRPr="000E029E">
        <w:rPr>
          <w:sz w:val="24"/>
          <w:szCs w:val="24"/>
        </w:rPr>
        <w:fldChar w:fldCharType="separate"/>
      </w:r>
      <w:r w:rsidR="00000BE7" w:rsidRPr="000E029E">
        <w:rPr>
          <w:rFonts w:cs="Calibri"/>
          <w:sz w:val="24"/>
          <w:szCs w:val="24"/>
        </w:rPr>
        <w:t>(Stapleton 2003)</w:t>
      </w:r>
      <w:r w:rsidR="00000BE7" w:rsidRPr="000E029E">
        <w:rPr>
          <w:sz w:val="24"/>
          <w:szCs w:val="24"/>
        </w:rPr>
        <w:fldChar w:fldCharType="end"/>
      </w:r>
      <w:r w:rsidR="00000BE7" w:rsidRPr="000E029E">
        <w:rPr>
          <w:sz w:val="24"/>
          <w:szCs w:val="24"/>
        </w:rPr>
        <w:t>.</w:t>
      </w:r>
    </w:p>
    <w:p w14:paraId="6F229B0D" w14:textId="56089FE1" w:rsidR="00326180" w:rsidRDefault="00326180" w:rsidP="00326180">
      <w:pPr>
        <w:pStyle w:val="FigureCaption"/>
      </w:pPr>
      <w:bookmarkStart w:id="6" w:name="_Ref216864449"/>
      <w:bookmarkStart w:id="7" w:name="_Toc220924801"/>
      <w:r w:rsidRPr="00731CA6">
        <w:t>Figure </w:t>
      </w:r>
      <w:r>
        <w:fldChar w:fldCharType="begin"/>
      </w:r>
      <w:r>
        <w:instrText xml:space="preserve"> SEQ Figure \* ARABIC </w:instrText>
      </w:r>
      <w:r>
        <w:fldChar w:fldCharType="separate"/>
      </w:r>
      <w:r w:rsidR="006E35CE">
        <w:rPr>
          <w:noProof/>
        </w:rPr>
        <w:t>2</w:t>
      </w:r>
      <w:r>
        <w:rPr>
          <w:noProof/>
        </w:rPr>
        <w:fldChar w:fldCharType="end"/>
      </w:r>
      <w:bookmarkEnd w:id="6"/>
      <w:r w:rsidRPr="00731CA6">
        <w:t xml:space="preserve"> </w:t>
      </w:r>
      <w:r w:rsidR="007E6D26">
        <w:t>Comparing unemployment rates over time</w:t>
      </w:r>
      <w:bookmarkEnd w:id="7"/>
    </w:p>
    <w:p w14:paraId="60CA18FA" w14:textId="1B7FD4EC" w:rsidR="00326180" w:rsidRDefault="005B6298" w:rsidP="00D32D54">
      <w:pPr>
        <w:pStyle w:val="USBodyText"/>
      </w:pPr>
      <w:r w:rsidRPr="005B6298">
        <w:rPr>
          <w:noProof/>
        </w:rPr>
        <w:drawing>
          <wp:inline distT="0" distB="0" distL="0" distR="0" wp14:anchorId="24F89FBC" wp14:editId="602945F9">
            <wp:extent cx="4953000" cy="3391546"/>
            <wp:effectExtent l="0" t="0" r="0" b="0"/>
            <wp:docPr id="1738834520" name="Picture 10" descr="Solid line with circles in chart denotes unemployment for disabled people. Chart shows disabled people's unemployment rate has always been higher than that of non-disabled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834520" name="Picture 10" descr="Solid line with circles in chart denotes unemployment for disabled people. Chart shows disabled people's unemployment rate has always been higher than that of non-disabled peopl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58766" cy="3395494"/>
                    </a:xfrm>
                    <a:prstGeom prst="rect">
                      <a:avLst/>
                    </a:prstGeom>
                    <a:noFill/>
                    <a:ln>
                      <a:noFill/>
                    </a:ln>
                  </pic:spPr>
                </pic:pic>
              </a:graphicData>
            </a:graphic>
          </wp:inline>
        </w:drawing>
      </w:r>
    </w:p>
    <w:p w14:paraId="2C1C5681" w14:textId="31D08E84" w:rsidR="00326180" w:rsidRPr="00446D62" w:rsidRDefault="00D94CA4" w:rsidP="0064732C">
      <w:pPr>
        <w:pStyle w:val="USSource"/>
      </w:pPr>
      <w:r>
        <w:t xml:space="preserve">Source: </w:t>
      </w:r>
      <w:r w:rsidR="004B1643">
        <w:fldChar w:fldCharType="begin"/>
      </w:r>
      <w:r w:rsidR="00B149C2">
        <w:instrText xml:space="preserve"> ADDIN ZOTERO_ITEM CSL_CITATION {"citationID":"wEKzwW0r","properties":{"formattedCitation":"(Stats NZ 2025)","plainCitation":"(Stats NZ 2025)","dontUpdate":true,"noteIndex":0},"citationItems":[{"id":85125,"uris":["http://zotero.org/groups/2546341/items/Z4S7BISY"],"itemData":{"id":85125,"type":"book","title":"Household Labour Force Survey","author":[{"literal":"Stats NZ"}],"issued":{"date-parts":[["2025"]]}}}],"schema":"https://github.com/citation-style-language/schema/raw/master/csl-citation.json"} </w:instrText>
      </w:r>
      <w:r w:rsidR="004B1643">
        <w:fldChar w:fldCharType="separate"/>
      </w:r>
      <w:r w:rsidR="004B1643" w:rsidRPr="004B1643">
        <w:rPr>
          <w:rFonts w:cs="Calibri"/>
        </w:rPr>
        <w:t xml:space="preserve">Stats NZ </w:t>
      </w:r>
      <w:r w:rsidR="000D198F">
        <w:rPr>
          <w:rFonts w:cs="Calibri"/>
        </w:rPr>
        <w:t>(</w:t>
      </w:r>
      <w:r w:rsidR="004B1643" w:rsidRPr="004B1643">
        <w:rPr>
          <w:rFonts w:cs="Calibri"/>
        </w:rPr>
        <w:t>2025)</w:t>
      </w:r>
      <w:r w:rsidR="004B1643">
        <w:fldChar w:fldCharType="end"/>
      </w:r>
    </w:p>
    <w:p w14:paraId="25777D40" w14:textId="3DD4D673" w:rsidR="001542BB" w:rsidRDefault="001542BB">
      <w:pPr>
        <w:spacing w:after="160" w:line="259" w:lineRule="auto"/>
      </w:pPr>
      <w:r>
        <w:br w:type="page"/>
      </w:r>
    </w:p>
    <w:p w14:paraId="51F32FFC" w14:textId="032FA29E" w:rsidR="00E113D7" w:rsidRDefault="0015792A" w:rsidP="003A4382">
      <w:pPr>
        <w:pStyle w:val="Heading1"/>
      </w:pPr>
      <w:bookmarkStart w:id="8" w:name="_Toc220924662"/>
      <w:r>
        <w:lastRenderedPageBreak/>
        <w:t>Education</w:t>
      </w:r>
      <w:r w:rsidR="007043F4">
        <w:t>al</w:t>
      </w:r>
      <w:r w:rsidR="00A6182B">
        <w:t xml:space="preserve"> outcomes</w:t>
      </w:r>
      <w:r>
        <w:t xml:space="preserve"> at a</w:t>
      </w:r>
      <w:r w:rsidR="006E0303">
        <w:t xml:space="preserve"> glance</w:t>
      </w:r>
      <w:bookmarkEnd w:id="8"/>
    </w:p>
    <w:p w14:paraId="1C6FD1FA" w14:textId="74A92821" w:rsidR="002D00EF" w:rsidRPr="000E029E" w:rsidRDefault="002D00EF" w:rsidP="002D00EF">
      <w:pPr>
        <w:pStyle w:val="USBodyText"/>
        <w:rPr>
          <w:sz w:val="24"/>
          <w:szCs w:val="24"/>
        </w:rPr>
      </w:pPr>
      <w:r w:rsidRPr="000E029E">
        <w:rPr>
          <w:sz w:val="24"/>
          <w:szCs w:val="24"/>
        </w:rPr>
        <w:t>According to the OECD and recent economic studies, education plays a critical role in improving labour</w:t>
      </w:r>
      <w:r w:rsidR="00EC41A8">
        <w:rPr>
          <w:sz w:val="24"/>
          <w:szCs w:val="24"/>
        </w:rPr>
        <w:t>-</w:t>
      </w:r>
      <w:r w:rsidRPr="000E029E">
        <w:rPr>
          <w:sz w:val="24"/>
          <w:szCs w:val="24"/>
        </w:rPr>
        <w:t xml:space="preserve">market outcomes for </w:t>
      </w:r>
      <w:r w:rsidR="002B2099" w:rsidRPr="000E029E">
        <w:rPr>
          <w:sz w:val="24"/>
          <w:szCs w:val="24"/>
        </w:rPr>
        <w:t>disabled people</w:t>
      </w:r>
      <w:r w:rsidRPr="000E029E">
        <w:rPr>
          <w:sz w:val="24"/>
          <w:szCs w:val="24"/>
        </w:rPr>
        <w:t xml:space="preserve">. The OECD’s Sickness, Disability and Work series (2010) finds that higher educational attainment significantly increases employment rates </w:t>
      </w:r>
      <w:r w:rsidR="00FA5542">
        <w:rPr>
          <w:sz w:val="24"/>
          <w:szCs w:val="24"/>
        </w:rPr>
        <w:t>among</w:t>
      </w:r>
      <w:r w:rsidR="00FA5542" w:rsidRPr="000E029E">
        <w:rPr>
          <w:sz w:val="24"/>
          <w:szCs w:val="24"/>
        </w:rPr>
        <w:t xml:space="preserve"> </w:t>
      </w:r>
      <w:r w:rsidR="00B734B3" w:rsidRPr="000E029E">
        <w:rPr>
          <w:sz w:val="24"/>
          <w:szCs w:val="24"/>
        </w:rPr>
        <w:t>disabled people</w:t>
      </w:r>
      <w:r w:rsidRPr="000E029E">
        <w:rPr>
          <w:sz w:val="24"/>
          <w:szCs w:val="24"/>
        </w:rPr>
        <w:t xml:space="preserve"> and helps narrow the disability employment gap. </w:t>
      </w:r>
      <w:r w:rsidR="00397F84" w:rsidRPr="000E029E">
        <w:rPr>
          <w:sz w:val="24"/>
          <w:szCs w:val="24"/>
        </w:rPr>
        <w:t>Disabled people</w:t>
      </w:r>
      <w:r w:rsidRPr="000E029E">
        <w:rPr>
          <w:sz w:val="24"/>
          <w:szCs w:val="24"/>
        </w:rPr>
        <w:t xml:space="preserve"> with tertiary qualifications are much more likely to participate in the labour force and to access higher-quality jobs with better pay, job security, and flexible conditions </w:t>
      </w:r>
      <w:r w:rsidR="00B149C2">
        <w:rPr>
          <w:sz w:val="24"/>
          <w:szCs w:val="24"/>
        </w:rPr>
        <w:fldChar w:fldCharType="begin"/>
      </w:r>
      <w:r w:rsidR="00B149C2">
        <w:rPr>
          <w:sz w:val="24"/>
          <w:szCs w:val="24"/>
        </w:rPr>
        <w:instrText xml:space="preserve"> ADDIN ZOTERO_ITEM CSL_CITATION {"citationID":"EOdsPFXu","properties":{"formattedCitation":"(OECD 2010)","plainCitation":"(OECD 2010)","noteIndex":0},"citationItems":[{"id":85591,"uris":["http://zotero.org/groups/2546341/items/NRR8URP5"],"itemData":{"id":85591,"type":"webpage","abstract":"Too many workers leave the labour market permanently due to health problems or disability, and too few people with reduced work capacity manage to remain in employment. This is a social and economic tragedy common to virtually all OECD countries. It ...","container-title":"OECD","language":"en","title":"Sickness, Disability and Work: Breaking the Barriers","title-short":"Sickness, Disability and Work","URL":"https://www.oecd.org/en/publications/sickness-disability-and-work-breaking-the-barriers_9789264088856-en.html","author":[{"family":"OECD","given":""}],"accessed":{"date-parts":[["2025",7,24]]},"issued":{"date-parts":[["2010"]]}}}],"schema":"https://github.com/citation-style-language/schema/raw/master/csl-citation.json"} </w:instrText>
      </w:r>
      <w:r w:rsidR="00B149C2">
        <w:rPr>
          <w:sz w:val="24"/>
          <w:szCs w:val="24"/>
        </w:rPr>
        <w:fldChar w:fldCharType="separate"/>
      </w:r>
      <w:r w:rsidR="00B149C2" w:rsidRPr="00B149C2">
        <w:rPr>
          <w:rFonts w:cs="Calibri"/>
          <w:sz w:val="24"/>
        </w:rPr>
        <w:t>(OECD 2010)</w:t>
      </w:r>
      <w:r w:rsidR="00B149C2">
        <w:rPr>
          <w:sz w:val="24"/>
          <w:szCs w:val="24"/>
        </w:rPr>
        <w:fldChar w:fldCharType="end"/>
      </w:r>
      <w:r w:rsidRPr="000E029E">
        <w:rPr>
          <w:sz w:val="24"/>
          <w:szCs w:val="24"/>
        </w:rPr>
        <w:t xml:space="preserve">. </w:t>
      </w:r>
    </w:p>
    <w:p w14:paraId="3AB58294" w14:textId="7D4CBFFB" w:rsidR="002D00EF" w:rsidRPr="000E029E" w:rsidRDefault="002D00EF" w:rsidP="002D00EF">
      <w:pPr>
        <w:pStyle w:val="USBodyText"/>
        <w:rPr>
          <w:sz w:val="24"/>
          <w:szCs w:val="24"/>
        </w:rPr>
      </w:pPr>
      <w:r w:rsidRPr="000E029E">
        <w:rPr>
          <w:sz w:val="24"/>
          <w:szCs w:val="24"/>
        </w:rPr>
        <w:t xml:space="preserve">The OECD also highlights that education is essential for adapting to the digital economy, where many accessible and remote working opportunities require advanced cognitive and digital skills (OECD, 2023). Without higher education, </w:t>
      </w:r>
      <w:r w:rsidR="00397F84" w:rsidRPr="000E029E">
        <w:rPr>
          <w:sz w:val="24"/>
          <w:szCs w:val="24"/>
        </w:rPr>
        <w:t xml:space="preserve">disabled </w:t>
      </w:r>
      <w:r w:rsidR="00F915FE" w:rsidRPr="000E029E">
        <w:rPr>
          <w:sz w:val="24"/>
          <w:szCs w:val="24"/>
        </w:rPr>
        <w:t xml:space="preserve">people </w:t>
      </w:r>
      <w:r w:rsidRPr="000E029E">
        <w:rPr>
          <w:sz w:val="24"/>
          <w:szCs w:val="24"/>
        </w:rPr>
        <w:t xml:space="preserve">are more likely to be concentrated in low-skill, routine jobs at risk of automation. Higher education also delivers long-term benefits, including improved lifetime earnings, reduced reliance on social protection, and greater economic independence (OECD, 2022). </w:t>
      </w:r>
    </w:p>
    <w:p w14:paraId="6A76857E" w14:textId="046E052F" w:rsidR="002D00EF" w:rsidRPr="000E029E" w:rsidRDefault="002D00EF" w:rsidP="002D00EF">
      <w:pPr>
        <w:pStyle w:val="USBodyText"/>
        <w:rPr>
          <w:sz w:val="24"/>
          <w:szCs w:val="24"/>
        </w:rPr>
      </w:pPr>
      <w:r w:rsidRPr="000E029E">
        <w:rPr>
          <w:sz w:val="24"/>
          <w:szCs w:val="24"/>
        </w:rPr>
        <w:t xml:space="preserve">Overall, the literature consistently shows that improving educational access for </w:t>
      </w:r>
      <w:r w:rsidR="00F915FE" w:rsidRPr="000E029E">
        <w:rPr>
          <w:sz w:val="24"/>
          <w:szCs w:val="24"/>
        </w:rPr>
        <w:t xml:space="preserve">disabled people </w:t>
      </w:r>
      <w:r w:rsidRPr="000E029E">
        <w:rPr>
          <w:sz w:val="24"/>
          <w:szCs w:val="24"/>
        </w:rPr>
        <w:t>is essential to reducing structural employment disparities and promoting sustained labour market inclusion.</w:t>
      </w:r>
    </w:p>
    <w:p w14:paraId="4D8AED3F" w14:textId="2A2ACE5B" w:rsidR="002D00EF" w:rsidRDefault="002D00EF" w:rsidP="006F2D4F">
      <w:pPr>
        <w:pStyle w:val="Heading2"/>
      </w:pPr>
      <w:bookmarkStart w:id="9" w:name="_Toc220924663"/>
      <w:r>
        <w:t>Education</w:t>
      </w:r>
      <w:r w:rsidR="00F915FE">
        <w:t>al</w:t>
      </w:r>
      <w:r>
        <w:t xml:space="preserve"> outcomes in New Zealand</w:t>
      </w:r>
      <w:bookmarkEnd w:id="9"/>
    </w:p>
    <w:p w14:paraId="0CBF25B1" w14:textId="6D08C51E" w:rsidR="001734E0" w:rsidRDefault="00C8290A" w:rsidP="001734E0">
      <w:pPr>
        <w:pStyle w:val="USBodyText"/>
        <w:rPr>
          <w:sz w:val="24"/>
          <w:szCs w:val="24"/>
        </w:rPr>
      </w:pPr>
      <w:r w:rsidRPr="000E029E">
        <w:rPr>
          <w:sz w:val="24"/>
          <w:szCs w:val="24"/>
        </w:rPr>
        <w:t xml:space="preserve">Disabled people are overrepresented among those with no qualifications and underrepresented at higher education levels, particularly at the </w:t>
      </w:r>
      <w:r w:rsidR="001357F3" w:rsidRPr="000E029E">
        <w:rPr>
          <w:sz w:val="24"/>
          <w:szCs w:val="24"/>
        </w:rPr>
        <w:t>bachelor’s</w:t>
      </w:r>
      <w:r w:rsidRPr="000E029E">
        <w:rPr>
          <w:sz w:val="24"/>
          <w:szCs w:val="24"/>
        </w:rPr>
        <w:t xml:space="preserve"> and postgraduate levels. </w:t>
      </w:r>
      <w:r w:rsidR="006F3A10" w:rsidRPr="000E029E">
        <w:rPr>
          <w:sz w:val="24"/>
          <w:szCs w:val="24"/>
        </w:rPr>
        <w:fldChar w:fldCharType="begin"/>
      </w:r>
      <w:r w:rsidR="006F3A10" w:rsidRPr="000E029E">
        <w:rPr>
          <w:sz w:val="24"/>
          <w:szCs w:val="24"/>
        </w:rPr>
        <w:instrText xml:space="preserve"> REF _Ref202527765 \h </w:instrText>
      </w:r>
      <w:r w:rsidR="001734E0">
        <w:rPr>
          <w:sz w:val="24"/>
          <w:szCs w:val="24"/>
        </w:rPr>
        <w:instrText xml:space="preserve"> \* MERGEFORMAT </w:instrText>
      </w:r>
      <w:r w:rsidR="006F3A10" w:rsidRPr="000E029E">
        <w:rPr>
          <w:sz w:val="24"/>
          <w:szCs w:val="24"/>
        </w:rPr>
      </w:r>
      <w:r w:rsidR="006F3A10" w:rsidRPr="000E029E">
        <w:rPr>
          <w:sz w:val="24"/>
          <w:szCs w:val="24"/>
        </w:rPr>
        <w:fldChar w:fldCharType="separate"/>
      </w:r>
      <w:r w:rsidR="006E35CE" w:rsidRPr="001061FE">
        <w:rPr>
          <w:sz w:val="24"/>
          <w:szCs w:val="24"/>
        </w:rPr>
        <w:t>Figure 3</w:t>
      </w:r>
      <w:r w:rsidR="006F3A10" w:rsidRPr="000E029E">
        <w:rPr>
          <w:sz w:val="24"/>
          <w:szCs w:val="24"/>
        </w:rPr>
        <w:fldChar w:fldCharType="end"/>
      </w:r>
      <w:r w:rsidR="00927B33" w:rsidRPr="000E029E">
        <w:rPr>
          <w:sz w:val="24"/>
          <w:szCs w:val="24"/>
        </w:rPr>
        <w:fldChar w:fldCharType="begin"/>
      </w:r>
      <w:r w:rsidR="00927B33" w:rsidRPr="000E029E">
        <w:rPr>
          <w:sz w:val="24"/>
          <w:szCs w:val="24"/>
        </w:rPr>
        <w:instrText xml:space="preserve"> REF _Ref202527765 \h </w:instrText>
      </w:r>
      <w:r w:rsidR="001734E0">
        <w:rPr>
          <w:sz w:val="24"/>
          <w:szCs w:val="24"/>
        </w:rPr>
        <w:instrText xml:space="preserve"> \* MERGEFORMAT </w:instrText>
      </w:r>
      <w:r w:rsidR="00927B33" w:rsidRPr="000E029E">
        <w:rPr>
          <w:sz w:val="24"/>
          <w:szCs w:val="24"/>
        </w:rPr>
      </w:r>
      <w:r w:rsidR="00927B33" w:rsidRPr="000E029E">
        <w:rPr>
          <w:sz w:val="24"/>
          <w:szCs w:val="24"/>
        </w:rPr>
        <w:fldChar w:fldCharType="separate"/>
      </w:r>
      <w:r w:rsidR="006E35CE" w:rsidRPr="00731CA6">
        <w:t>Figure </w:t>
      </w:r>
      <w:r w:rsidR="006E35CE">
        <w:t>3</w:t>
      </w:r>
      <w:r w:rsidR="00927B33" w:rsidRPr="000E029E">
        <w:rPr>
          <w:sz w:val="24"/>
          <w:szCs w:val="24"/>
        </w:rPr>
        <w:fldChar w:fldCharType="end"/>
      </w:r>
      <w:r w:rsidR="00927B33" w:rsidRPr="000E029E">
        <w:rPr>
          <w:sz w:val="24"/>
          <w:szCs w:val="24"/>
        </w:rPr>
        <w:t xml:space="preserve"> </w:t>
      </w:r>
      <w:r w:rsidRPr="000E029E">
        <w:rPr>
          <w:sz w:val="24"/>
          <w:szCs w:val="24"/>
        </w:rPr>
        <w:t xml:space="preserve">highlights an educational attainment gap between disabled and non-disabled populations, which may contribute to observed disparities in labour </w:t>
      </w:r>
      <w:bookmarkStart w:id="10" w:name="_Hlk216864336"/>
      <w:r w:rsidRPr="000E029E">
        <w:rPr>
          <w:sz w:val="24"/>
          <w:szCs w:val="24"/>
        </w:rPr>
        <w:t>outcomes</w:t>
      </w:r>
      <w:r w:rsidR="00F915FE" w:rsidRPr="000E029E">
        <w:rPr>
          <w:sz w:val="24"/>
          <w:szCs w:val="24"/>
        </w:rPr>
        <w:t>.</w:t>
      </w:r>
    </w:p>
    <w:p w14:paraId="52D7F50A" w14:textId="14892172" w:rsidR="001734E0" w:rsidRPr="00EB6A47" w:rsidRDefault="001734E0" w:rsidP="001734E0">
      <w:pPr>
        <w:pStyle w:val="USBodyText"/>
        <w:rPr>
          <w:rFonts w:ascii="Times New Roman" w:hAnsi="Times New Roman"/>
          <w:sz w:val="24"/>
          <w:szCs w:val="24"/>
        </w:rPr>
      </w:pPr>
      <w:r w:rsidRPr="00EB6A47">
        <w:rPr>
          <w:sz w:val="24"/>
          <w:szCs w:val="24"/>
        </w:rPr>
        <w:fldChar w:fldCharType="begin"/>
      </w:r>
      <w:r w:rsidRPr="00EB6A47">
        <w:rPr>
          <w:sz w:val="24"/>
          <w:szCs w:val="24"/>
        </w:rPr>
        <w:instrText xml:space="preserve"> REF _Ref202527765 \h  \* MERGEFORMAT </w:instrText>
      </w:r>
      <w:r w:rsidRPr="00EB6A47">
        <w:rPr>
          <w:sz w:val="24"/>
          <w:szCs w:val="24"/>
        </w:rPr>
      </w:r>
      <w:r w:rsidRPr="00EB6A47">
        <w:rPr>
          <w:sz w:val="24"/>
          <w:szCs w:val="24"/>
        </w:rPr>
        <w:fldChar w:fldCharType="separate"/>
      </w:r>
      <w:r w:rsidR="006E35CE" w:rsidRPr="001061FE">
        <w:rPr>
          <w:sz w:val="24"/>
          <w:szCs w:val="24"/>
        </w:rPr>
        <w:t>Figure 3</w:t>
      </w:r>
      <w:r w:rsidRPr="00EB6A47">
        <w:rPr>
          <w:sz w:val="24"/>
          <w:szCs w:val="24"/>
        </w:rPr>
        <w:fldChar w:fldCharType="end"/>
      </w:r>
      <w:r w:rsidRPr="00EB6A47">
        <w:rPr>
          <w:sz w:val="24"/>
          <w:szCs w:val="24"/>
        </w:rPr>
        <w:t xml:space="preserve"> provides a clear comparison of the highest educational qualifications attained by disabled and non-disabled populations. It shows that disabled people are much more likely to have lower levels of education and significantly less likely to hold higher qualifications.</w:t>
      </w:r>
    </w:p>
    <w:p w14:paraId="5ADC3B98" w14:textId="41E0742C" w:rsidR="009C66A9" w:rsidRPr="000E029E" w:rsidRDefault="009C66A9" w:rsidP="00B04EEB">
      <w:pPr>
        <w:pStyle w:val="USBodyText"/>
        <w:rPr>
          <w:sz w:val="24"/>
          <w:szCs w:val="24"/>
        </w:rPr>
      </w:pPr>
    </w:p>
    <w:p w14:paraId="53CC4456" w14:textId="63BA8E23" w:rsidR="009C66A9" w:rsidRDefault="009C66A9" w:rsidP="009C66A9">
      <w:pPr>
        <w:pStyle w:val="FigureCaption"/>
      </w:pPr>
      <w:bookmarkStart w:id="11" w:name="_Ref202527765"/>
      <w:bookmarkStart w:id="12" w:name="_Toc220924802"/>
      <w:bookmarkStart w:id="13" w:name="_Hlk202537133"/>
      <w:r w:rsidRPr="00731CA6">
        <w:lastRenderedPageBreak/>
        <w:t>Figure </w:t>
      </w:r>
      <w:r w:rsidR="00781620">
        <w:fldChar w:fldCharType="begin"/>
      </w:r>
      <w:r w:rsidR="00781620">
        <w:instrText xml:space="preserve"> SEQ Figure \* ARABIC </w:instrText>
      </w:r>
      <w:r w:rsidR="00781620">
        <w:fldChar w:fldCharType="separate"/>
      </w:r>
      <w:r w:rsidR="006E35CE">
        <w:rPr>
          <w:noProof/>
        </w:rPr>
        <w:t>3</w:t>
      </w:r>
      <w:r w:rsidR="00781620">
        <w:rPr>
          <w:noProof/>
        </w:rPr>
        <w:fldChar w:fldCharType="end"/>
      </w:r>
      <w:bookmarkEnd w:id="11"/>
      <w:r w:rsidRPr="00731CA6">
        <w:t xml:space="preserve"> </w:t>
      </w:r>
      <w:r>
        <w:t xml:space="preserve">Comparing </w:t>
      </w:r>
      <w:r w:rsidR="0001513D">
        <w:t>education</w:t>
      </w:r>
      <w:r w:rsidR="009A057A">
        <w:t>al</w:t>
      </w:r>
      <w:r>
        <w:t xml:space="preserve"> outcomes</w:t>
      </w:r>
      <w:bookmarkEnd w:id="12"/>
    </w:p>
    <w:bookmarkEnd w:id="10"/>
    <w:bookmarkEnd w:id="13"/>
    <w:p w14:paraId="0DD05441" w14:textId="09ABF7E4" w:rsidR="00DE212D" w:rsidRDefault="00ED278A" w:rsidP="00DE212D">
      <w:pPr>
        <w:pStyle w:val="CaptionSubheading"/>
      </w:pPr>
      <w:r>
        <w:t>Aged 15</w:t>
      </w:r>
      <w:r w:rsidR="006F3A10">
        <w:t>–</w:t>
      </w:r>
      <w:r>
        <w:t xml:space="preserve">64 </w:t>
      </w:r>
      <w:r w:rsidR="005D3E6B">
        <w:t>years</w:t>
      </w:r>
    </w:p>
    <w:p w14:paraId="7E364193" w14:textId="3A243994" w:rsidR="0018276C" w:rsidRPr="00731CA6" w:rsidRDefault="0018276C" w:rsidP="00DE212D">
      <w:pPr>
        <w:pStyle w:val="CaptionSubheading"/>
      </w:pPr>
      <w:r>
        <w:rPr>
          <w:noProof/>
        </w:rPr>
        <w:drawing>
          <wp:inline distT="0" distB="0" distL="0" distR="0" wp14:anchorId="58CD7533" wp14:editId="1E8B4CDC">
            <wp:extent cx="5157470" cy="3469005"/>
            <wp:effectExtent l="0" t="0" r="5080" b="0"/>
            <wp:docPr id="2091374635" name="Picture 11" descr="Bar chart comparing education levels between disabled and non-disabled groups. It shows disabled individuals have higher percentages in &quot;No qualifications&quot; (32%) and &quot;Level 4+&quot; (19%), while non-disabled individuals lead in &quot;School&quot; (28%), &quot;Bachelors&quot; (23%), and &quot;Postgraduate&quot; (12%) categories, with color-coded bars in blue for disabled and pink for non-disable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374635" name="Picture 11" descr="Bar chart comparing education levels between disabled and non-disabled groups. It shows disabled individuals have higher percentages in &quot;No qualifications&quot; (32%) and &quot;Level 4+&quot; (19%), while non-disabled individuals lead in &quot;School&quot; (28%), &quot;Bachelors&quot; (23%), and &quot;Postgraduate&quot; (12%) categories, with color-coded bars in blue for disabled and pink for non-disabled.&#10;&#10;AI-generated content may be incorrec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57470" cy="3469005"/>
                    </a:xfrm>
                    <a:prstGeom prst="rect">
                      <a:avLst/>
                    </a:prstGeom>
                    <a:noFill/>
                  </pic:spPr>
                </pic:pic>
              </a:graphicData>
            </a:graphic>
          </wp:inline>
        </w:drawing>
      </w:r>
    </w:p>
    <w:p w14:paraId="203D1810" w14:textId="518BD553" w:rsidR="00E35563" w:rsidRDefault="00B43342" w:rsidP="00312F41">
      <w:pPr>
        <w:pStyle w:val="USSource"/>
      </w:pPr>
      <w:r>
        <w:t>Source:</w:t>
      </w:r>
      <w:r w:rsidR="00312F41">
        <w:fldChar w:fldCharType="begin"/>
      </w:r>
      <w:r w:rsidR="00B149C2">
        <w:instrText xml:space="preserve"> ADDIN ZOTERO_ITEM CSL_CITATION {"citationID":"idQs7H1F","properties":{"formattedCitation":"(Ministry of Business, Innovation and Employment 2025)","plainCitation":"(Ministry of Business, Innovation and Employment 2025)","dontUpdate":true,"noteIndex":0},"citationItems":[{"id":90085,"uris":["http://zotero.org/groups/2546341/items/FVILTKK9"],"itemData":{"id":90085,"type":"webpage","title":"Disabled Peoples (Aged 15 to 64 years) labour market statistics snapshot - June 2025","URL":"https://www.mbie.govt.nz/dmsdocument/31056-disabled-peoples-aged-15-to-64-years-labour-market-statistics-snapshot-june-2025-pdf","author":[{"family":"Ministry of Business, Innovation and Employment","given":""}],"accessed":{"date-parts":[["2025",12,17]]},"issued":{"date-parts":[["2025"]]}}}],"schema":"https://github.com/citation-style-language/schema/raw/master/csl-citation.json"} </w:instrText>
      </w:r>
      <w:r w:rsidR="00312F41">
        <w:fldChar w:fldCharType="separate"/>
      </w:r>
      <w:r w:rsidR="00326EAF">
        <w:rPr>
          <w:rFonts w:cs="Calibri"/>
        </w:rPr>
        <w:t xml:space="preserve"> </w:t>
      </w:r>
      <w:r w:rsidR="00312F41" w:rsidRPr="00312F41">
        <w:rPr>
          <w:rFonts w:cs="Calibri"/>
        </w:rPr>
        <w:t xml:space="preserve">Ministry of Business, Innovation and Employment </w:t>
      </w:r>
      <w:r w:rsidR="00312F41">
        <w:rPr>
          <w:rFonts w:cs="Calibri"/>
        </w:rPr>
        <w:t>(</w:t>
      </w:r>
      <w:r w:rsidR="00312F41" w:rsidRPr="00312F41">
        <w:rPr>
          <w:rFonts w:cs="Calibri"/>
        </w:rPr>
        <w:t>2025)</w:t>
      </w:r>
      <w:r w:rsidR="00312F41">
        <w:fldChar w:fldCharType="end"/>
      </w:r>
    </w:p>
    <w:p w14:paraId="2AEDE0B9" w14:textId="7A64DCA9" w:rsidR="00B04EEB" w:rsidRPr="000E029E" w:rsidRDefault="00B04EEB" w:rsidP="00B04EEB">
      <w:pPr>
        <w:pStyle w:val="USBodyText"/>
        <w:rPr>
          <w:sz w:val="24"/>
          <w:szCs w:val="24"/>
        </w:rPr>
      </w:pPr>
      <w:r w:rsidRPr="000E029E">
        <w:rPr>
          <w:sz w:val="24"/>
          <w:szCs w:val="24"/>
        </w:rPr>
        <w:t xml:space="preserve">A notable </w:t>
      </w:r>
      <w:r w:rsidRPr="000E029E">
        <w:rPr>
          <w:rStyle w:val="Strong"/>
          <w:b w:val="0"/>
          <w:bCs w:val="0"/>
          <w:sz w:val="24"/>
          <w:szCs w:val="24"/>
        </w:rPr>
        <w:t>3</w:t>
      </w:r>
      <w:r w:rsidR="00955B1C" w:rsidRPr="000E029E">
        <w:rPr>
          <w:rStyle w:val="Strong"/>
          <w:b w:val="0"/>
          <w:bCs w:val="0"/>
          <w:sz w:val="24"/>
          <w:szCs w:val="24"/>
        </w:rPr>
        <w:t>2</w:t>
      </w:r>
      <w:r w:rsidRPr="000E029E">
        <w:rPr>
          <w:rStyle w:val="Strong"/>
          <w:b w:val="0"/>
          <w:bCs w:val="0"/>
          <w:sz w:val="24"/>
          <w:szCs w:val="24"/>
        </w:rPr>
        <w:t xml:space="preserve"> percent of disabled people have no qualifications</w:t>
      </w:r>
      <w:r w:rsidRPr="000E029E">
        <w:rPr>
          <w:b/>
          <w:bCs/>
          <w:sz w:val="24"/>
          <w:szCs w:val="24"/>
        </w:rPr>
        <w:t xml:space="preserve">, </w:t>
      </w:r>
      <w:r w:rsidRPr="000E029E">
        <w:rPr>
          <w:sz w:val="24"/>
          <w:szCs w:val="24"/>
        </w:rPr>
        <w:t xml:space="preserve">compared to </w:t>
      </w:r>
      <w:r w:rsidRPr="000E029E">
        <w:rPr>
          <w:rStyle w:val="Strong"/>
          <w:b w:val="0"/>
          <w:bCs w:val="0"/>
          <w:sz w:val="24"/>
          <w:szCs w:val="24"/>
        </w:rPr>
        <w:t>13 percent of non-disabled people</w:t>
      </w:r>
      <w:r w:rsidRPr="000E029E">
        <w:rPr>
          <w:sz w:val="24"/>
          <w:szCs w:val="24"/>
        </w:rPr>
        <w:t>. This is the largest gap in the chart and indicates that a substantial proportion of disabled people may face early disengagement from formal education or barriers to educational participation.</w:t>
      </w:r>
    </w:p>
    <w:p w14:paraId="02D2E81C" w14:textId="0A7239FB" w:rsidR="00B04EEB" w:rsidRPr="000E029E" w:rsidRDefault="00B04EEB" w:rsidP="00B04EEB">
      <w:pPr>
        <w:pStyle w:val="USBodyText"/>
        <w:rPr>
          <w:sz w:val="24"/>
          <w:szCs w:val="24"/>
        </w:rPr>
      </w:pPr>
      <w:r w:rsidRPr="000E029E">
        <w:rPr>
          <w:sz w:val="24"/>
          <w:szCs w:val="24"/>
        </w:rPr>
        <w:t>At the</w:t>
      </w:r>
      <w:r w:rsidRPr="000E029E">
        <w:rPr>
          <w:b/>
          <w:bCs/>
          <w:sz w:val="24"/>
          <w:szCs w:val="24"/>
        </w:rPr>
        <w:t xml:space="preserve"> </w:t>
      </w:r>
      <w:r w:rsidRPr="000E029E">
        <w:rPr>
          <w:rStyle w:val="Strong"/>
          <w:b w:val="0"/>
          <w:bCs w:val="0"/>
          <w:sz w:val="24"/>
          <w:szCs w:val="24"/>
        </w:rPr>
        <w:t>school qualification level</w:t>
      </w:r>
      <w:r w:rsidRPr="000E029E">
        <w:rPr>
          <w:sz w:val="24"/>
          <w:szCs w:val="24"/>
        </w:rPr>
        <w:t>, 2</w:t>
      </w:r>
      <w:r w:rsidR="00955B1C" w:rsidRPr="000E029E">
        <w:rPr>
          <w:sz w:val="24"/>
          <w:szCs w:val="24"/>
        </w:rPr>
        <w:t>3</w:t>
      </w:r>
      <w:r w:rsidRPr="000E029E">
        <w:rPr>
          <w:sz w:val="24"/>
          <w:szCs w:val="24"/>
        </w:rPr>
        <w:t xml:space="preserve"> percent of disabled people and 28 percent of non-disabled people are represented. The difference here is smaller but still suggests slightly lower retention rates for disabled people in secondary education.</w:t>
      </w:r>
    </w:p>
    <w:p w14:paraId="701F37E9" w14:textId="04026B35" w:rsidR="00B04EEB" w:rsidRPr="000E029E" w:rsidRDefault="00B04EEB" w:rsidP="00B04EEB">
      <w:pPr>
        <w:pStyle w:val="USBodyText"/>
        <w:rPr>
          <w:sz w:val="24"/>
          <w:szCs w:val="24"/>
        </w:rPr>
      </w:pPr>
      <w:r w:rsidRPr="000E029E">
        <w:rPr>
          <w:sz w:val="24"/>
          <w:szCs w:val="24"/>
        </w:rPr>
        <w:t xml:space="preserve">For </w:t>
      </w:r>
      <w:r w:rsidRPr="000E029E">
        <w:rPr>
          <w:rStyle w:val="Strong"/>
          <w:b w:val="0"/>
          <w:bCs w:val="0"/>
          <w:sz w:val="24"/>
          <w:szCs w:val="24"/>
        </w:rPr>
        <w:t>Levels 1–3 qualifications</w:t>
      </w:r>
      <w:r w:rsidRPr="000E029E">
        <w:rPr>
          <w:sz w:val="24"/>
          <w:szCs w:val="24"/>
        </w:rPr>
        <w:t>, the percentages are relatively close, with disabled people at 1</w:t>
      </w:r>
      <w:r w:rsidR="00955B1C" w:rsidRPr="000E029E">
        <w:rPr>
          <w:sz w:val="24"/>
          <w:szCs w:val="24"/>
        </w:rPr>
        <w:t>0</w:t>
      </w:r>
      <w:r w:rsidRPr="000E029E">
        <w:rPr>
          <w:sz w:val="24"/>
          <w:szCs w:val="24"/>
        </w:rPr>
        <w:t xml:space="preserve"> percent and non-disabled people at </w:t>
      </w:r>
      <w:r w:rsidR="00955B1C" w:rsidRPr="000E029E">
        <w:rPr>
          <w:sz w:val="24"/>
          <w:szCs w:val="24"/>
        </w:rPr>
        <w:t>8</w:t>
      </w:r>
      <w:r w:rsidRPr="000E029E">
        <w:rPr>
          <w:sz w:val="24"/>
          <w:szCs w:val="24"/>
        </w:rPr>
        <w:t xml:space="preserve"> percent.</w:t>
      </w:r>
    </w:p>
    <w:p w14:paraId="78B0D942" w14:textId="45B1B0EF" w:rsidR="00B04EEB" w:rsidRPr="000E029E" w:rsidRDefault="00B04EEB" w:rsidP="00B04EEB">
      <w:pPr>
        <w:pStyle w:val="USBodyText"/>
        <w:rPr>
          <w:sz w:val="24"/>
          <w:szCs w:val="24"/>
        </w:rPr>
      </w:pPr>
      <w:r w:rsidRPr="000E029E">
        <w:rPr>
          <w:sz w:val="24"/>
          <w:szCs w:val="24"/>
        </w:rPr>
        <w:t xml:space="preserve">Interestingly, at the </w:t>
      </w:r>
      <w:r w:rsidRPr="000E029E">
        <w:rPr>
          <w:rStyle w:val="Strong"/>
          <w:b w:val="0"/>
          <w:bCs w:val="0"/>
          <w:sz w:val="24"/>
          <w:szCs w:val="24"/>
        </w:rPr>
        <w:t>Level 4+ category</w:t>
      </w:r>
      <w:r w:rsidRPr="000E029E">
        <w:rPr>
          <w:sz w:val="24"/>
          <w:szCs w:val="24"/>
        </w:rPr>
        <w:t xml:space="preserve"> (which typically includes certificates and diplomas), disabled people slightly exceed non-disabled people, with </w:t>
      </w:r>
      <w:r w:rsidR="00955B1C" w:rsidRPr="000E029E">
        <w:rPr>
          <w:sz w:val="24"/>
          <w:szCs w:val="24"/>
        </w:rPr>
        <w:t xml:space="preserve">19 </w:t>
      </w:r>
      <w:r w:rsidRPr="000E029E">
        <w:rPr>
          <w:sz w:val="24"/>
          <w:szCs w:val="24"/>
        </w:rPr>
        <w:t xml:space="preserve">percent compared to </w:t>
      </w:r>
      <w:r w:rsidR="00955B1C" w:rsidRPr="000E029E">
        <w:rPr>
          <w:sz w:val="24"/>
          <w:szCs w:val="24"/>
        </w:rPr>
        <w:t xml:space="preserve">16 </w:t>
      </w:r>
      <w:r w:rsidRPr="000E029E">
        <w:rPr>
          <w:sz w:val="24"/>
          <w:szCs w:val="24"/>
        </w:rPr>
        <w:t>percent. This may reflect participation in vocational or alternative post-secondary pathways that are more accessible.</w:t>
      </w:r>
    </w:p>
    <w:p w14:paraId="338BB43C" w14:textId="6C10429A" w:rsidR="00B04EEB" w:rsidRDefault="00B04EEB" w:rsidP="00B04EEB">
      <w:pPr>
        <w:pStyle w:val="USBodyText"/>
        <w:rPr>
          <w:sz w:val="24"/>
          <w:szCs w:val="24"/>
        </w:rPr>
      </w:pPr>
      <w:r w:rsidRPr="000E029E">
        <w:rPr>
          <w:sz w:val="24"/>
          <w:szCs w:val="24"/>
        </w:rPr>
        <w:t xml:space="preserve">However, the gap widens again at higher education levels. Only </w:t>
      </w:r>
      <w:r w:rsidR="00804E84" w:rsidRPr="000E029E">
        <w:rPr>
          <w:rStyle w:val="Strong"/>
          <w:b w:val="0"/>
          <w:bCs w:val="0"/>
          <w:sz w:val="24"/>
          <w:szCs w:val="24"/>
        </w:rPr>
        <w:t xml:space="preserve">12 </w:t>
      </w:r>
      <w:r w:rsidRPr="000E029E">
        <w:rPr>
          <w:rStyle w:val="Strong"/>
          <w:b w:val="0"/>
          <w:bCs w:val="0"/>
          <w:sz w:val="24"/>
          <w:szCs w:val="24"/>
        </w:rPr>
        <w:t xml:space="preserve">percent of disabled people hold a </w:t>
      </w:r>
      <w:r w:rsidR="001357F3" w:rsidRPr="000E029E">
        <w:rPr>
          <w:rStyle w:val="Strong"/>
          <w:b w:val="0"/>
          <w:bCs w:val="0"/>
          <w:sz w:val="24"/>
          <w:szCs w:val="24"/>
        </w:rPr>
        <w:t>bachelor’s</w:t>
      </w:r>
      <w:r w:rsidRPr="000E029E">
        <w:rPr>
          <w:rStyle w:val="Strong"/>
          <w:b w:val="0"/>
          <w:bCs w:val="0"/>
          <w:sz w:val="24"/>
          <w:szCs w:val="24"/>
        </w:rPr>
        <w:t xml:space="preserve"> degree</w:t>
      </w:r>
      <w:r w:rsidRPr="000E029E">
        <w:rPr>
          <w:sz w:val="24"/>
          <w:szCs w:val="24"/>
        </w:rPr>
        <w:t xml:space="preserve">, compared to </w:t>
      </w:r>
      <w:r w:rsidRPr="000E029E">
        <w:rPr>
          <w:rStyle w:val="Strong"/>
          <w:b w:val="0"/>
          <w:bCs w:val="0"/>
          <w:sz w:val="24"/>
          <w:szCs w:val="24"/>
        </w:rPr>
        <w:t>23 percent of non-disabled people</w:t>
      </w:r>
      <w:r w:rsidRPr="000E029E">
        <w:rPr>
          <w:sz w:val="24"/>
          <w:szCs w:val="24"/>
        </w:rPr>
        <w:t xml:space="preserve">. At the </w:t>
      </w:r>
      <w:r w:rsidRPr="000E029E">
        <w:rPr>
          <w:rStyle w:val="Strong"/>
          <w:b w:val="0"/>
          <w:bCs w:val="0"/>
          <w:sz w:val="24"/>
          <w:szCs w:val="24"/>
        </w:rPr>
        <w:t>postgraduate level</w:t>
      </w:r>
      <w:r w:rsidRPr="000E029E">
        <w:rPr>
          <w:sz w:val="24"/>
          <w:szCs w:val="24"/>
        </w:rPr>
        <w:t xml:space="preserve">, the difference is also significant, with </w:t>
      </w:r>
      <w:r w:rsidR="00804E84" w:rsidRPr="000E029E">
        <w:rPr>
          <w:rStyle w:val="Strong"/>
          <w:b w:val="0"/>
          <w:bCs w:val="0"/>
          <w:sz w:val="24"/>
          <w:szCs w:val="24"/>
        </w:rPr>
        <w:t xml:space="preserve">5 </w:t>
      </w:r>
      <w:r w:rsidRPr="000E029E">
        <w:rPr>
          <w:rStyle w:val="Strong"/>
          <w:b w:val="0"/>
          <w:bCs w:val="0"/>
          <w:sz w:val="24"/>
          <w:szCs w:val="24"/>
        </w:rPr>
        <w:t>percent of disabled people</w:t>
      </w:r>
      <w:r w:rsidRPr="000E029E">
        <w:rPr>
          <w:sz w:val="24"/>
          <w:szCs w:val="24"/>
        </w:rPr>
        <w:t xml:space="preserve"> compared to </w:t>
      </w:r>
      <w:r w:rsidRPr="000E029E">
        <w:rPr>
          <w:rStyle w:val="Strong"/>
          <w:b w:val="0"/>
          <w:bCs w:val="0"/>
          <w:sz w:val="24"/>
          <w:szCs w:val="24"/>
        </w:rPr>
        <w:t>12 percent of non-disabled people</w:t>
      </w:r>
      <w:r w:rsidRPr="000E029E">
        <w:rPr>
          <w:sz w:val="24"/>
          <w:szCs w:val="24"/>
        </w:rPr>
        <w:t>.</w:t>
      </w:r>
    </w:p>
    <w:p w14:paraId="0AC4802B" w14:textId="77777777" w:rsidR="008300FD" w:rsidRPr="000E029E" w:rsidRDefault="008300FD" w:rsidP="00B04EEB">
      <w:pPr>
        <w:pStyle w:val="USBodyText"/>
        <w:rPr>
          <w:sz w:val="24"/>
          <w:szCs w:val="24"/>
        </w:rPr>
      </w:pPr>
    </w:p>
    <w:p w14:paraId="118E33FF" w14:textId="60B037BC" w:rsidR="00B04EEB" w:rsidRDefault="00B04EEB" w:rsidP="00B04EEB">
      <w:pPr>
        <w:pStyle w:val="Heading4"/>
      </w:pPr>
      <w:r>
        <w:lastRenderedPageBreak/>
        <w:t>Implications</w:t>
      </w:r>
      <w:r w:rsidR="00D736DD">
        <w:t xml:space="preserve"> of current education</w:t>
      </w:r>
      <w:r w:rsidR="00A37F70">
        <w:t>al</w:t>
      </w:r>
      <w:r w:rsidR="00D736DD">
        <w:t xml:space="preserve"> outcomes</w:t>
      </w:r>
    </w:p>
    <w:p w14:paraId="176D7B15" w14:textId="745C85E8" w:rsidR="00B04EEB" w:rsidRPr="000E029E" w:rsidRDefault="00B04EEB" w:rsidP="00B04EEB">
      <w:pPr>
        <w:pStyle w:val="USBodyText"/>
        <w:rPr>
          <w:sz w:val="24"/>
          <w:szCs w:val="24"/>
        </w:rPr>
      </w:pPr>
      <w:r w:rsidRPr="000E029E">
        <w:rPr>
          <w:sz w:val="24"/>
          <w:szCs w:val="24"/>
        </w:rPr>
        <w:t xml:space="preserve">The distribution highlights a persistent </w:t>
      </w:r>
      <w:r w:rsidRPr="000E029E">
        <w:rPr>
          <w:rStyle w:val="Strong"/>
          <w:b w:val="0"/>
          <w:bCs w:val="0"/>
          <w:sz w:val="24"/>
          <w:szCs w:val="24"/>
        </w:rPr>
        <w:t>educational attainment gap</w:t>
      </w:r>
      <w:r w:rsidRPr="000E029E">
        <w:rPr>
          <w:b/>
          <w:bCs/>
          <w:sz w:val="24"/>
          <w:szCs w:val="24"/>
        </w:rPr>
        <w:t xml:space="preserve"> </w:t>
      </w:r>
      <w:r w:rsidRPr="000E029E">
        <w:rPr>
          <w:sz w:val="24"/>
          <w:szCs w:val="24"/>
        </w:rPr>
        <w:t xml:space="preserve">that likely contributes to broader labour market disparities. Lower qualification levels are strongly associated with reduced employment prospects, lower earnings, and higher risks of job insecurity. The underrepresentation of disabled people at </w:t>
      </w:r>
      <w:r w:rsidR="001357F3" w:rsidRPr="000E029E">
        <w:rPr>
          <w:sz w:val="24"/>
          <w:szCs w:val="24"/>
        </w:rPr>
        <w:t>bachelor’s</w:t>
      </w:r>
      <w:r w:rsidRPr="000E029E">
        <w:rPr>
          <w:sz w:val="24"/>
          <w:szCs w:val="24"/>
        </w:rPr>
        <w:t xml:space="preserve"> and postgraduate levels suggests limited access to high-skill, high-wage occupations, which can contribute to the higher unemployment and underutilisation rates observed in other data.</w:t>
      </w:r>
    </w:p>
    <w:p w14:paraId="5E178601" w14:textId="0C92F46D" w:rsidR="00B04EEB" w:rsidRPr="000E029E" w:rsidRDefault="00B04EEB" w:rsidP="00B04EEB">
      <w:pPr>
        <w:pStyle w:val="USBodyText"/>
        <w:rPr>
          <w:sz w:val="24"/>
          <w:szCs w:val="24"/>
        </w:rPr>
      </w:pPr>
      <w:r w:rsidRPr="000E029E">
        <w:rPr>
          <w:sz w:val="24"/>
          <w:szCs w:val="24"/>
        </w:rPr>
        <w:t>This pattern points to the importance of improving access to inclusive education, addressing barriers that prevent disabled people from pursuing higher qualifications, and supporting pathways to lifelong learning to reduce these disadvantages.</w:t>
      </w:r>
    </w:p>
    <w:p w14:paraId="639178FD" w14:textId="77777777" w:rsidR="003F1A91" w:rsidRDefault="003F1A91">
      <w:pPr>
        <w:spacing w:after="160" w:line="259" w:lineRule="auto"/>
        <w:rPr>
          <w:rFonts w:eastAsiaTheme="majorEastAsia" w:cstheme="majorBidi"/>
          <w:b/>
          <w:color w:val="0094C5"/>
          <w:sz w:val="32"/>
          <w:szCs w:val="32"/>
        </w:rPr>
      </w:pPr>
      <w:r>
        <w:br w:type="page"/>
      </w:r>
    </w:p>
    <w:p w14:paraId="08EA50B5" w14:textId="46D7F2B9" w:rsidR="00877F88" w:rsidRDefault="00C53FA3" w:rsidP="003A4382">
      <w:pPr>
        <w:pStyle w:val="Heading1"/>
      </w:pPr>
      <w:bookmarkStart w:id="14" w:name="_Toc220924664"/>
      <w:r>
        <w:lastRenderedPageBreak/>
        <w:t>What works for improving outcomes</w:t>
      </w:r>
      <w:bookmarkEnd w:id="14"/>
    </w:p>
    <w:p w14:paraId="43C75472" w14:textId="20AD066C" w:rsidR="00472A6F" w:rsidRDefault="0065001C" w:rsidP="0065001C">
      <w:pPr>
        <w:pStyle w:val="Heading2"/>
      </w:pPr>
      <w:bookmarkStart w:id="15" w:name="_Toc220924665"/>
      <w:r>
        <w:t>International evidence on disability, employment and policy tools</w:t>
      </w:r>
      <w:bookmarkEnd w:id="15"/>
    </w:p>
    <w:p w14:paraId="4B4C9F97" w14:textId="621B65C1" w:rsidR="000F5B2D" w:rsidRPr="000E029E" w:rsidRDefault="00FA5B02" w:rsidP="000F5B2D">
      <w:pPr>
        <w:pStyle w:val="USBodyText"/>
        <w:rPr>
          <w:sz w:val="24"/>
          <w:szCs w:val="24"/>
        </w:rPr>
      </w:pPr>
      <w:r w:rsidRPr="000E029E">
        <w:rPr>
          <w:sz w:val="24"/>
          <w:szCs w:val="24"/>
        </w:rPr>
        <w:t>T</w:t>
      </w:r>
      <w:r w:rsidR="000F5B2D" w:rsidRPr="000E029E">
        <w:rPr>
          <w:sz w:val="24"/>
          <w:szCs w:val="24"/>
        </w:rPr>
        <w:t xml:space="preserve">he OECD report </w:t>
      </w:r>
      <w:r w:rsidR="000F5B2D" w:rsidRPr="000E029E">
        <w:rPr>
          <w:i/>
          <w:iCs/>
          <w:sz w:val="24"/>
          <w:szCs w:val="24"/>
        </w:rPr>
        <w:t>Disability, Work and Inclusion: Mainstreaming in All Policies and Practices</w:t>
      </w:r>
      <w:r w:rsidR="000F5B2D" w:rsidRPr="000E029E">
        <w:rPr>
          <w:sz w:val="24"/>
          <w:szCs w:val="24"/>
        </w:rPr>
        <w:t xml:space="preserve"> </w:t>
      </w:r>
      <w:r w:rsidR="004D7F71" w:rsidRPr="000E029E">
        <w:rPr>
          <w:sz w:val="24"/>
          <w:szCs w:val="24"/>
        </w:rPr>
        <w:fldChar w:fldCharType="begin"/>
      </w:r>
      <w:r w:rsidR="00B149C2">
        <w:rPr>
          <w:sz w:val="24"/>
          <w:szCs w:val="24"/>
        </w:rPr>
        <w:instrText xml:space="preserve"> ADDIN ZOTERO_ITEM CSL_CITATION {"citationID":"3KafRajr","properties":{"formattedCitation":"(OECD 2022)","plainCitation":"(OECD 2022)","noteIndex":0},"citationItems":[{"id":85126,"uris":["http://zotero.org/groups/2546341/items/LEU9RPE6"],"itemData":{"id":85126,"type":"report","abstract":"One in seven working-age adults identifies as having a disability in OECD countries, a share that is also substantial and growing among young people (8% in 2019). Many of them are excluded from meaningful work and have low levels of income and social engagement. This report documents the current labour market situation of people with disability, who continue to face large employment, unemployment and poverty gaps compared with people without disability. The report concludes that the goal set up some twenty years ago of making disability policies pro-active and employment-oriented has not been achieved. In particular, key areas of disability policy have received too little attention so far, such as policies to support young people with disability, improve the skills of people with disability, and intervene early in the course of a health problem or disability. The report calls for rigorous disability mainstreaming in all relevant policies and practices as the missing link to better labour market inclusion.","language":"en","title":"Disability, Work and Inclusion: Mainstreaming in All Policies and Practices","URL":"https://www.oecd.org/en/publications/disability-work-and-inclusion_1eaa5e9c-en/full-report.html","author":[{"literal":"OECD"}],"accessed":{"date-parts":[["2025",7,4]]},"issued":{"date-parts":[["2022"]]}}}],"schema":"https://github.com/citation-style-language/schema/raw/master/csl-citation.json"} </w:instrText>
      </w:r>
      <w:r w:rsidR="004D7F71" w:rsidRPr="000E029E">
        <w:rPr>
          <w:sz w:val="24"/>
          <w:szCs w:val="24"/>
        </w:rPr>
        <w:fldChar w:fldCharType="separate"/>
      </w:r>
      <w:r w:rsidR="004D7F71" w:rsidRPr="000E029E">
        <w:rPr>
          <w:rFonts w:cs="Calibri"/>
          <w:sz w:val="24"/>
          <w:szCs w:val="24"/>
        </w:rPr>
        <w:t>(OECD 2022)</w:t>
      </w:r>
      <w:r w:rsidR="004D7F71" w:rsidRPr="000E029E">
        <w:rPr>
          <w:sz w:val="24"/>
          <w:szCs w:val="24"/>
        </w:rPr>
        <w:fldChar w:fldCharType="end"/>
      </w:r>
      <w:r w:rsidR="004D7F71" w:rsidRPr="000E029E">
        <w:rPr>
          <w:sz w:val="24"/>
          <w:szCs w:val="24"/>
        </w:rPr>
        <w:t xml:space="preserve"> </w:t>
      </w:r>
      <w:r w:rsidR="003A7C00">
        <w:rPr>
          <w:sz w:val="24"/>
          <w:szCs w:val="24"/>
        </w:rPr>
        <w:t>provides</w:t>
      </w:r>
      <w:r w:rsidR="003A7C00" w:rsidRPr="000E029E">
        <w:rPr>
          <w:sz w:val="24"/>
          <w:szCs w:val="24"/>
        </w:rPr>
        <w:t xml:space="preserve"> </w:t>
      </w:r>
      <w:r w:rsidR="00A80A6B" w:rsidRPr="000E029E">
        <w:rPr>
          <w:sz w:val="24"/>
          <w:szCs w:val="24"/>
        </w:rPr>
        <w:t>a</w:t>
      </w:r>
      <w:r w:rsidR="000F5B2D" w:rsidRPr="000E029E">
        <w:rPr>
          <w:sz w:val="24"/>
          <w:szCs w:val="24"/>
        </w:rPr>
        <w:t xml:space="preserve"> </w:t>
      </w:r>
      <w:r w:rsidR="00A80A6B" w:rsidRPr="000E029E">
        <w:rPr>
          <w:sz w:val="24"/>
          <w:szCs w:val="24"/>
        </w:rPr>
        <w:t>summary</w:t>
      </w:r>
      <w:r w:rsidR="000F5B2D" w:rsidRPr="000E029E">
        <w:rPr>
          <w:sz w:val="24"/>
          <w:szCs w:val="24"/>
        </w:rPr>
        <w:t xml:space="preserve"> assessment of the persistent disparities in labour</w:t>
      </w:r>
      <w:r w:rsidR="00484D0A">
        <w:rPr>
          <w:sz w:val="24"/>
          <w:szCs w:val="24"/>
        </w:rPr>
        <w:t>-</w:t>
      </w:r>
      <w:r w:rsidR="000F5B2D" w:rsidRPr="000E029E">
        <w:rPr>
          <w:sz w:val="24"/>
          <w:szCs w:val="24"/>
        </w:rPr>
        <w:t xml:space="preserve">market outcomes between </w:t>
      </w:r>
      <w:r w:rsidR="006D1667" w:rsidRPr="000E029E">
        <w:rPr>
          <w:sz w:val="24"/>
          <w:szCs w:val="24"/>
        </w:rPr>
        <w:t>disabled people</w:t>
      </w:r>
      <w:r w:rsidR="000F5B2D" w:rsidRPr="000E029E">
        <w:rPr>
          <w:sz w:val="24"/>
          <w:szCs w:val="24"/>
        </w:rPr>
        <w:t xml:space="preserve"> and </w:t>
      </w:r>
      <w:r w:rsidR="006D1667" w:rsidRPr="000E029E">
        <w:rPr>
          <w:sz w:val="24"/>
          <w:szCs w:val="24"/>
        </w:rPr>
        <w:t xml:space="preserve">non-disabled </w:t>
      </w:r>
      <w:r w:rsidR="000F5B2D" w:rsidRPr="000E029E">
        <w:rPr>
          <w:sz w:val="24"/>
          <w:szCs w:val="24"/>
        </w:rPr>
        <w:t>people across OECD countries. Despite incremental policy reforms over the past two decades, the disability employment gap remains substantial</w:t>
      </w:r>
      <w:r w:rsidR="00513990" w:rsidRPr="000E029E">
        <w:rPr>
          <w:sz w:val="24"/>
          <w:szCs w:val="24"/>
        </w:rPr>
        <w:t xml:space="preserve"> among OECD members</w:t>
      </w:r>
      <w:r w:rsidR="000F5B2D" w:rsidRPr="000E029E">
        <w:rPr>
          <w:sz w:val="24"/>
          <w:szCs w:val="24"/>
        </w:rPr>
        <w:t>.</w:t>
      </w:r>
    </w:p>
    <w:p w14:paraId="1D34FB7B" w14:textId="2EA83DE5" w:rsidR="00951C37" w:rsidRPr="00731CA6" w:rsidRDefault="00951C37" w:rsidP="00951C37">
      <w:pPr>
        <w:pStyle w:val="TableCaption"/>
      </w:pPr>
      <w:bookmarkStart w:id="16" w:name="_Toc216879592"/>
      <w:r w:rsidRPr="00731CA6">
        <w:t xml:space="preserve">Table </w:t>
      </w:r>
      <w:r w:rsidR="00A261CA">
        <w:fldChar w:fldCharType="begin"/>
      </w:r>
      <w:r w:rsidR="00A261CA">
        <w:instrText xml:space="preserve"> SEQ Table \* ARABIC </w:instrText>
      </w:r>
      <w:r w:rsidR="00A261CA">
        <w:fldChar w:fldCharType="separate"/>
      </w:r>
      <w:r w:rsidR="006E35CE">
        <w:rPr>
          <w:noProof/>
        </w:rPr>
        <w:t>1</w:t>
      </w:r>
      <w:r w:rsidR="00A261CA">
        <w:rPr>
          <w:noProof/>
        </w:rPr>
        <w:fldChar w:fldCharType="end"/>
      </w:r>
      <w:r w:rsidRPr="00731CA6">
        <w:t xml:space="preserve"> </w:t>
      </w:r>
      <w:r w:rsidR="0073323D">
        <w:t>OECD findings and recommendations</w:t>
      </w:r>
      <w:bookmarkEnd w:id="16"/>
    </w:p>
    <w:p w14:paraId="14A06E4F" w14:textId="762B224B" w:rsidR="00951C37" w:rsidRPr="00731CA6" w:rsidRDefault="00951C37" w:rsidP="00951C37">
      <w:pPr>
        <w:pStyle w:val="CaptionSubheading"/>
      </w:pPr>
    </w:p>
    <w:tbl>
      <w:tblPr>
        <w:tblStyle w:val="TableDefault"/>
        <w:tblW w:w="0" w:type="auto"/>
        <w:tblLook w:val="0460" w:firstRow="1" w:lastRow="1" w:firstColumn="0" w:lastColumn="0" w:noHBand="0" w:noVBand="1"/>
      </w:tblPr>
      <w:tblGrid>
        <w:gridCol w:w="4349"/>
        <w:gridCol w:w="3871"/>
      </w:tblGrid>
      <w:tr w:rsidR="004444CA" w:rsidRPr="00731CA6" w14:paraId="1BE552B6" w14:textId="77777777" w:rsidTr="002D3D0F">
        <w:trPr>
          <w:cnfStyle w:val="100000000000" w:firstRow="1" w:lastRow="0" w:firstColumn="0" w:lastColumn="0" w:oddVBand="0" w:evenVBand="0" w:oddHBand="0" w:evenHBand="0" w:firstRowFirstColumn="0" w:firstRowLastColumn="0" w:lastRowFirstColumn="0" w:lastRowLastColumn="0"/>
        </w:trPr>
        <w:tc>
          <w:tcPr>
            <w:tcW w:w="0" w:type="auto"/>
          </w:tcPr>
          <w:p w14:paraId="69B49142" w14:textId="3FCC6E9F" w:rsidR="004444CA" w:rsidRPr="000E029E" w:rsidRDefault="004444CA" w:rsidP="00C227CC">
            <w:pPr>
              <w:pStyle w:val="TSTableHeadingWhite-TopRow"/>
              <w:rPr>
                <w:sz w:val="24"/>
                <w:szCs w:val="24"/>
              </w:rPr>
            </w:pPr>
            <w:r w:rsidRPr="000E029E">
              <w:rPr>
                <w:sz w:val="24"/>
                <w:szCs w:val="24"/>
              </w:rPr>
              <w:t>Key findings</w:t>
            </w:r>
          </w:p>
        </w:tc>
        <w:tc>
          <w:tcPr>
            <w:tcW w:w="0" w:type="auto"/>
          </w:tcPr>
          <w:p w14:paraId="4F357288" w14:textId="24AE2EB3" w:rsidR="004444CA" w:rsidRPr="000E029E" w:rsidRDefault="004444CA" w:rsidP="00C227CC">
            <w:pPr>
              <w:pStyle w:val="TSTableHeadingWhite-TopRow"/>
              <w:rPr>
                <w:sz w:val="24"/>
                <w:szCs w:val="24"/>
              </w:rPr>
            </w:pPr>
            <w:r w:rsidRPr="000E029E">
              <w:rPr>
                <w:sz w:val="24"/>
                <w:szCs w:val="24"/>
              </w:rPr>
              <w:t>Recommendation</w:t>
            </w:r>
          </w:p>
        </w:tc>
      </w:tr>
      <w:tr w:rsidR="004444CA" w:rsidRPr="00731CA6" w14:paraId="5EC29690" w14:textId="77777777" w:rsidTr="002D3D0F">
        <w:tc>
          <w:tcPr>
            <w:tcW w:w="0" w:type="auto"/>
          </w:tcPr>
          <w:p w14:paraId="47A2DE91" w14:textId="02CFB7FA" w:rsidR="004444CA" w:rsidRPr="000E029E" w:rsidRDefault="00091D24" w:rsidP="00C227CC">
            <w:pPr>
              <w:pStyle w:val="TSBodyText"/>
              <w:rPr>
                <w:sz w:val="24"/>
                <w:szCs w:val="24"/>
              </w:rPr>
            </w:pPr>
            <w:r w:rsidRPr="000E029E">
              <w:rPr>
                <w:sz w:val="24"/>
                <w:szCs w:val="24"/>
              </w:rPr>
              <w:t xml:space="preserve">Disability employment rates remain persistently lower than for </w:t>
            </w:r>
            <w:r w:rsidR="00E03EC5" w:rsidRPr="000E029E">
              <w:rPr>
                <w:sz w:val="24"/>
                <w:szCs w:val="24"/>
              </w:rPr>
              <w:t xml:space="preserve">non-disabled </w:t>
            </w:r>
            <w:r w:rsidRPr="000E029E">
              <w:rPr>
                <w:sz w:val="24"/>
                <w:szCs w:val="24"/>
              </w:rPr>
              <w:t>people, with an average gap of approximately 40%.</w:t>
            </w:r>
          </w:p>
        </w:tc>
        <w:tc>
          <w:tcPr>
            <w:tcW w:w="0" w:type="auto"/>
          </w:tcPr>
          <w:p w14:paraId="4E414155" w14:textId="556BAADB" w:rsidR="004444CA" w:rsidRPr="000E029E" w:rsidRDefault="008D6CE1" w:rsidP="00C227CC">
            <w:pPr>
              <w:pStyle w:val="TSBodyText"/>
              <w:rPr>
                <w:sz w:val="24"/>
                <w:szCs w:val="24"/>
              </w:rPr>
            </w:pPr>
            <w:r w:rsidRPr="000E029E">
              <w:rPr>
                <w:sz w:val="24"/>
                <w:szCs w:val="24"/>
              </w:rPr>
              <w:t>Implement disability mainstreaming across all policy domains, including education, labour market, social protection, and technology development.</w:t>
            </w:r>
          </w:p>
        </w:tc>
      </w:tr>
      <w:tr w:rsidR="008D6CE1" w:rsidRPr="00731CA6" w14:paraId="61A47F76" w14:textId="77777777" w:rsidTr="002D3D0F">
        <w:trPr>
          <w:cnfStyle w:val="000000010000" w:firstRow="0" w:lastRow="0" w:firstColumn="0" w:lastColumn="0" w:oddVBand="0" w:evenVBand="0" w:oddHBand="0" w:evenHBand="1" w:firstRowFirstColumn="0" w:firstRowLastColumn="0" w:lastRowFirstColumn="0" w:lastRowLastColumn="0"/>
        </w:trPr>
        <w:tc>
          <w:tcPr>
            <w:tcW w:w="0" w:type="auto"/>
          </w:tcPr>
          <w:p w14:paraId="73C364EB" w14:textId="03B42956" w:rsidR="008D6CE1" w:rsidRPr="000E029E" w:rsidRDefault="002D3D0F" w:rsidP="00C227CC">
            <w:pPr>
              <w:pStyle w:val="TSBodyText"/>
              <w:rPr>
                <w:sz w:val="24"/>
                <w:szCs w:val="24"/>
              </w:rPr>
            </w:pPr>
            <w:r w:rsidRPr="000E029E">
              <w:rPr>
                <w:sz w:val="24"/>
                <w:szCs w:val="24"/>
              </w:rPr>
              <w:t xml:space="preserve">Unemployment rates for </w:t>
            </w:r>
            <w:r w:rsidR="000E0F75" w:rsidRPr="000E029E">
              <w:rPr>
                <w:sz w:val="24"/>
                <w:szCs w:val="24"/>
              </w:rPr>
              <w:t xml:space="preserve">disabled people </w:t>
            </w:r>
            <w:r w:rsidRPr="000E029E">
              <w:rPr>
                <w:sz w:val="24"/>
                <w:szCs w:val="24"/>
              </w:rPr>
              <w:t>are consistently more than twice as high as for those without disabilities.</w:t>
            </w:r>
          </w:p>
        </w:tc>
        <w:tc>
          <w:tcPr>
            <w:tcW w:w="0" w:type="auto"/>
          </w:tcPr>
          <w:p w14:paraId="2A0374CC" w14:textId="25FAE01D" w:rsidR="008D6CE1" w:rsidRPr="000E029E" w:rsidRDefault="002D3D0F" w:rsidP="00C227CC">
            <w:pPr>
              <w:pStyle w:val="TSBodyText"/>
              <w:rPr>
                <w:sz w:val="24"/>
                <w:szCs w:val="24"/>
              </w:rPr>
            </w:pPr>
            <w:r w:rsidRPr="000E029E">
              <w:rPr>
                <w:sz w:val="24"/>
                <w:szCs w:val="24"/>
              </w:rPr>
              <w:t>Prioritise early intervention in sickness and unemployment systems to prevent long-term labour market detachment.</w:t>
            </w:r>
          </w:p>
        </w:tc>
      </w:tr>
      <w:tr w:rsidR="008D6CE1" w:rsidRPr="00731CA6" w14:paraId="12F0B64F" w14:textId="77777777" w:rsidTr="002D3D0F">
        <w:tc>
          <w:tcPr>
            <w:tcW w:w="0" w:type="auto"/>
          </w:tcPr>
          <w:p w14:paraId="37ABB484" w14:textId="31A2702E" w:rsidR="008D6CE1" w:rsidRPr="000E029E" w:rsidRDefault="00DC54C4" w:rsidP="00C227CC">
            <w:pPr>
              <w:pStyle w:val="TSBodyText"/>
              <w:rPr>
                <w:sz w:val="24"/>
                <w:szCs w:val="24"/>
              </w:rPr>
            </w:pPr>
            <w:r w:rsidRPr="000E029E">
              <w:rPr>
                <w:sz w:val="24"/>
                <w:szCs w:val="24"/>
              </w:rPr>
              <w:t xml:space="preserve">Despite some improvement in educational attainment, the skills and qualifications gap between </w:t>
            </w:r>
            <w:r w:rsidR="000E0F75" w:rsidRPr="000E029E">
              <w:rPr>
                <w:sz w:val="24"/>
                <w:szCs w:val="24"/>
              </w:rPr>
              <w:t xml:space="preserve">disabled </w:t>
            </w:r>
            <w:r w:rsidRPr="000E029E">
              <w:rPr>
                <w:sz w:val="24"/>
                <w:szCs w:val="24"/>
              </w:rPr>
              <w:t xml:space="preserve">people </w:t>
            </w:r>
            <w:r w:rsidR="003D28F7" w:rsidRPr="000E029E">
              <w:rPr>
                <w:sz w:val="24"/>
                <w:szCs w:val="24"/>
              </w:rPr>
              <w:t xml:space="preserve">and </w:t>
            </w:r>
            <w:r w:rsidR="000E0F75" w:rsidRPr="000E029E">
              <w:rPr>
                <w:sz w:val="24"/>
                <w:szCs w:val="24"/>
              </w:rPr>
              <w:t xml:space="preserve">non-disabled people </w:t>
            </w:r>
            <w:r w:rsidRPr="000E029E">
              <w:rPr>
                <w:sz w:val="24"/>
                <w:szCs w:val="24"/>
              </w:rPr>
              <w:t>remains</w:t>
            </w:r>
            <w:r w:rsidR="0083560D" w:rsidRPr="000E029E">
              <w:rPr>
                <w:sz w:val="24"/>
                <w:szCs w:val="24"/>
              </w:rPr>
              <w:t>.</w:t>
            </w:r>
          </w:p>
        </w:tc>
        <w:tc>
          <w:tcPr>
            <w:tcW w:w="0" w:type="auto"/>
          </w:tcPr>
          <w:p w14:paraId="51390139" w14:textId="3FB6676F" w:rsidR="008D6CE1" w:rsidRPr="000E029E" w:rsidRDefault="00DC54C4" w:rsidP="00C227CC">
            <w:pPr>
              <w:pStyle w:val="TSBodyText"/>
              <w:rPr>
                <w:sz w:val="24"/>
                <w:szCs w:val="24"/>
              </w:rPr>
            </w:pPr>
            <w:r w:rsidRPr="000E029E">
              <w:rPr>
                <w:sz w:val="24"/>
                <w:szCs w:val="24"/>
              </w:rPr>
              <w:t xml:space="preserve">Strengthen school-to-work transitions for young </w:t>
            </w:r>
            <w:r w:rsidR="0083560D" w:rsidRPr="000E029E">
              <w:rPr>
                <w:sz w:val="24"/>
                <w:szCs w:val="24"/>
              </w:rPr>
              <w:t>disabled people</w:t>
            </w:r>
            <w:r w:rsidRPr="000E029E">
              <w:rPr>
                <w:sz w:val="24"/>
                <w:szCs w:val="24"/>
              </w:rPr>
              <w:t xml:space="preserve"> through inclusive education and targeted employment support.</w:t>
            </w:r>
          </w:p>
        </w:tc>
      </w:tr>
      <w:tr w:rsidR="008D6CE1" w:rsidRPr="00731CA6" w14:paraId="6FD8CD4D" w14:textId="77777777" w:rsidTr="002D3D0F">
        <w:trPr>
          <w:cnfStyle w:val="000000010000" w:firstRow="0" w:lastRow="0" w:firstColumn="0" w:lastColumn="0" w:oddVBand="0" w:evenVBand="0" w:oddHBand="0" w:evenHBand="1" w:firstRowFirstColumn="0" w:firstRowLastColumn="0" w:lastRowFirstColumn="0" w:lastRowLastColumn="0"/>
        </w:trPr>
        <w:tc>
          <w:tcPr>
            <w:tcW w:w="0" w:type="auto"/>
          </w:tcPr>
          <w:p w14:paraId="77078289" w14:textId="53AAD52E" w:rsidR="008D6CE1" w:rsidRPr="000E029E" w:rsidRDefault="00DC54C4" w:rsidP="00C227CC">
            <w:pPr>
              <w:pStyle w:val="TSBodyText"/>
              <w:rPr>
                <w:sz w:val="24"/>
                <w:szCs w:val="24"/>
              </w:rPr>
            </w:pPr>
            <w:r w:rsidRPr="000E029E">
              <w:rPr>
                <w:sz w:val="24"/>
                <w:szCs w:val="24"/>
              </w:rPr>
              <w:t xml:space="preserve">Young </w:t>
            </w:r>
            <w:r w:rsidR="000E0F75" w:rsidRPr="000E029E">
              <w:rPr>
                <w:sz w:val="24"/>
                <w:szCs w:val="24"/>
              </w:rPr>
              <w:t>disabled</w:t>
            </w:r>
            <w:r w:rsidRPr="000E029E">
              <w:rPr>
                <w:sz w:val="24"/>
                <w:szCs w:val="24"/>
              </w:rPr>
              <w:t xml:space="preserve"> people face particularly high rates of early school leaving and are disproportionately represented among those not in employment, education, or training (NEET).</w:t>
            </w:r>
          </w:p>
        </w:tc>
        <w:tc>
          <w:tcPr>
            <w:tcW w:w="0" w:type="auto"/>
          </w:tcPr>
          <w:p w14:paraId="7627CC62" w14:textId="4FF57F3D" w:rsidR="008D6CE1" w:rsidRPr="000E029E" w:rsidRDefault="0065547F" w:rsidP="00C227CC">
            <w:pPr>
              <w:pStyle w:val="TSBodyText"/>
              <w:rPr>
                <w:sz w:val="24"/>
                <w:szCs w:val="24"/>
              </w:rPr>
            </w:pPr>
            <w:r w:rsidRPr="000E029E">
              <w:rPr>
                <w:sz w:val="24"/>
                <w:szCs w:val="24"/>
              </w:rPr>
              <w:t>Enhance the capacity of public employment services to address disability-related barriers and provide integrated employment and health support.</w:t>
            </w:r>
          </w:p>
        </w:tc>
      </w:tr>
      <w:tr w:rsidR="008D6CE1" w:rsidRPr="00731CA6" w14:paraId="0B368F62" w14:textId="77777777" w:rsidTr="005153D3">
        <w:tc>
          <w:tcPr>
            <w:tcW w:w="0" w:type="auto"/>
            <w:tcBorders>
              <w:bottom w:val="single" w:sz="6" w:space="0" w:color="0094C5" w:themeColor="accent1"/>
            </w:tcBorders>
          </w:tcPr>
          <w:p w14:paraId="60D886AA" w14:textId="5BC126F7" w:rsidR="008D6CE1" w:rsidRPr="000E029E" w:rsidRDefault="001B47E2" w:rsidP="00C227CC">
            <w:pPr>
              <w:pStyle w:val="TSBodyText"/>
              <w:rPr>
                <w:sz w:val="24"/>
                <w:szCs w:val="24"/>
              </w:rPr>
            </w:pPr>
            <w:r w:rsidRPr="000E029E">
              <w:rPr>
                <w:sz w:val="24"/>
                <w:szCs w:val="24"/>
              </w:rPr>
              <w:t xml:space="preserve">Labour market shifts, such as automation and the expansion of remote work, present both risks and opportunities for </w:t>
            </w:r>
            <w:r w:rsidR="000E0F75" w:rsidRPr="000E029E">
              <w:rPr>
                <w:sz w:val="24"/>
                <w:szCs w:val="24"/>
              </w:rPr>
              <w:t xml:space="preserve">disabled </w:t>
            </w:r>
            <w:r w:rsidRPr="000E029E">
              <w:rPr>
                <w:sz w:val="24"/>
                <w:szCs w:val="24"/>
              </w:rPr>
              <w:t>people, but structural barriers persist.</w:t>
            </w:r>
          </w:p>
        </w:tc>
        <w:tc>
          <w:tcPr>
            <w:tcW w:w="0" w:type="auto"/>
            <w:tcBorders>
              <w:bottom w:val="single" w:sz="6" w:space="0" w:color="0094C5" w:themeColor="accent1"/>
            </w:tcBorders>
          </w:tcPr>
          <w:p w14:paraId="6DB31B98" w14:textId="47F0E587" w:rsidR="008D6CE1" w:rsidRPr="000E029E" w:rsidRDefault="00197E23" w:rsidP="00C227CC">
            <w:pPr>
              <w:pStyle w:val="TSBodyText"/>
              <w:rPr>
                <w:sz w:val="24"/>
                <w:szCs w:val="24"/>
              </w:rPr>
            </w:pPr>
            <w:r w:rsidRPr="000E029E">
              <w:rPr>
                <w:sz w:val="24"/>
                <w:szCs w:val="24"/>
              </w:rPr>
              <w:t xml:space="preserve">Promote universal design principles and invest in accessible and assistive technologies to ensure equal participation in </w:t>
            </w:r>
            <w:r w:rsidR="0083560D" w:rsidRPr="000E029E">
              <w:rPr>
                <w:sz w:val="24"/>
                <w:szCs w:val="24"/>
              </w:rPr>
              <w:t xml:space="preserve">the </w:t>
            </w:r>
            <w:r w:rsidRPr="000E029E">
              <w:rPr>
                <w:sz w:val="24"/>
                <w:szCs w:val="24"/>
              </w:rPr>
              <w:t>evolving labour market</w:t>
            </w:r>
            <w:r w:rsidR="0083560D" w:rsidRPr="000E029E">
              <w:rPr>
                <w:sz w:val="24"/>
                <w:szCs w:val="24"/>
              </w:rPr>
              <w:t>.</w:t>
            </w:r>
          </w:p>
        </w:tc>
      </w:tr>
      <w:tr w:rsidR="008D6CE1" w:rsidRPr="00731CA6" w14:paraId="0076FBD5" w14:textId="77777777" w:rsidTr="005153D3">
        <w:trPr>
          <w:cnfStyle w:val="010000000000" w:firstRow="0" w:lastRow="1" w:firstColumn="0" w:lastColumn="0" w:oddVBand="0" w:evenVBand="0" w:oddHBand="0" w:evenHBand="0" w:firstRowFirstColumn="0" w:firstRowLastColumn="0" w:lastRowFirstColumn="0" w:lastRowLastColumn="0"/>
        </w:trPr>
        <w:tc>
          <w:tcPr>
            <w:tcW w:w="0" w:type="auto"/>
            <w:tcBorders>
              <w:top w:val="single" w:sz="6" w:space="0" w:color="0094C5" w:themeColor="accent1"/>
            </w:tcBorders>
            <w:shd w:val="clear" w:color="auto" w:fill="EEECF0"/>
          </w:tcPr>
          <w:p w14:paraId="2AC94DB3" w14:textId="1C00C918" w:rsidR="008D6CE1" w:rsidRPr="000E029E" w:rsidRDefault="00197E23" w:rsidP="00C227CC">
            <w:pPr>
              <w:pStyle w:val="TSBodyText"/>
              <w:rPr>
                <w:sz w:val="24"/>
                <w:szCs w:val="24"/>
              </w:rPr>
            </w:pPr>
            <w:r w:rsidRPr="000E029E">
              <w:rPr>
                <w:sz w:val="24"/>
                <w:szCs w:val="24"/>
              </w:rPr>
              <w:t xml:space="preserve">Participation in adult learning and training is significantly lower among </w:t>
            </w:r>
            <w:r w:rsidR="000E0F75" w:rsidRPr="000E029E">
              <w:rPr>
                <w:sz w:val="24"/>
                <w:szCs w:val="24"/>
              </w:rPr>
              <w:t xml:space="preserve">disabled </w:t>
            </w:r>
            <w:r w:rsidRPr="000E029E">
              <w:rPr>
                <w:sz w:val="24"/>
                <w:szCs w:val="24"/>
              </w:rPr>
              <w:t>people, particularly among those not in employment.</w:t>
            </w:r>
          </w:p>
        </w:tc>
        <w:tc>
          <w:tcPr>
            <w:tcW w:w="0" w:type="auto"/>
            <w:tcBorders>
              <w:top w:val="single" w:sz="6" w:space="0" w:color="0094C5" w:themeColor="accent1"/>
            </w:tcBorders>
            <w:shd w:val="clear" w:color="auto" w:fill="EEECF0"/>
          </w:tcPr>
          <w:p w14:paraId="07B68773" w14:textId="652F5EC1" w:rsidR="008D6CE1" w:rsidRPr="000E029E" w:rsidRDefault="00197E23" w:rsidP="00C227CC">
            <w:pPr>
              <w:pStyle w:val="TSBodyText"/>
              <w:rPr>
                <w:sz w:val="24"/>
                <w:szCs w:val="24"/>
              </w:rPr>
            </w:pPr>
            <w:r w:rsidRPr="000E029E">
              <w:rPr>
                <w:sz w:val="24"/>
                <w:szCs w:val="24"/>
              </w:rPr>
              <w:t xml:space="preserve">Ensure adult learning systems are accessible, flexible, and adequately funded, with targeted outreach to </w:t>
            </w:r>
            <w:r w:rsidR="0083560D" w:rsidRPr="000E029E">
              <w:rPr>
                <w:sz w:val="24"/>
                <w:szCs w:val="24"/>
              </w:rPr>
              <w:t>disab</w:t>
            </w:r>
            <w:r w:rsidR="00F82826" w:rsidRPr="000E029E">
              <w:rPr>
                <w:sz w:val="24"/>
                <w:szCs w:val="24"/>
              </w:rPr>
              <w:t xml:space="preserve">led </w:t>
            </w:r>
            <w:r w:rsidRPr="000E029E">
              <w:rPr>
                <w:sz w:val="24"/>
                <w:szCs w:val="24"/>
              </w:rPr>
              <w:t>people.</w:t>
            </w:r>
          </w:p>
        </w:tc>
      </w:tr>
    </w:tbl>
    <w:p w14:paraId="6A1702A1" w14:textId="54395150" w:rsidR="00951C37" w:rsidRPr="00731CA6" w:rsidRDefault="00951C37" w:rsidP="00951C37">
      <w:pPr>
        <w:pStyle w:val="USSource"/>
      </w:pPr>
      <w:r w:rsidRPr="00731CA6">
        <w:t xml:space="preserve">Source: </w:t>
      </w:r>
      <w:r w:rsidR="00E85DAC">
        <w:fldChar w:fldCharType="begin"/>
      </w:r>
      <w:r w:rsidR="00B149C2">
        <w:instrText xml:space="preserve"> ADDIN ZOTERO_ITEM CSL_CITATION {"citationID":"mzoLz6C3","properties":{"formattedCitation":"(OECD 2022)","plainCitation":"(OECD 2022)","dontUpdate":true,"noteIndex":0},"citationItems":[{"id":85126,"uris":["http://zotero.org/groups/2546341/items/LEU9RPE6"],"itemData":{"id":85126,"type":"report","abstract":"One in seven working-age adults identifies as having a disability in OECD countries, a share that is also substantial and growing among young people (8% in 2019). Many of them are excluded from meaningful work and have low levels of income and social engagement. This report documents the current labour market situation of people with disability, who continue to face large employment, unemployment and poverty gaps compared with people without disability. The report concludes that the goal set up some twenty years ago of making disability policies pro-active and employment-oriented has not been achieved. In particular, key areas of disability policy have received too little attention so far, such as policies to support young people with disability, improve the skills of people with disability, and intervene early in the course of a health problem or disability. The report calls for rigorous disability mainstreaming in all relevant policies and practices as the missing link to better labour market inclusion.","language":"en","title":"Disability, Work and Inclusion: Mainstreaming in All Policies and Practices","URL":"https://www.oecd.org/en/publications/disability-work-and-inclusion_1eaa5e9c-en/full-report.html","author":[{"literal":"OECD"}],"accessed":{"date-parts":[["2025",7,4]]},"issued":{"date-parts":[["2022"]]}}}],"schema":"https://github.com/citation-style-language/schema/raw/master/csl-citation.json"} </w:instrText>
      </w:r>
      <w:r w:rsidR="00E85DAC">
        <w:fldChar w:fldCharType="separate"/>
      </w:r>
      <w:r w:rsidR="00E85DAC" w:rsidRPr="00E85DAC">
        <w:rPr>
          <w:rFonts w:cs="Calibri"/>
        </w:rPr>
        <w:t xml:space="preserve">OECD </w:t>
      </w:r>
      <w:r w:rsidR="00610F12">
        <w:rPr>
          <w:rFonts w:cs="Calibri"/>
        </w:rPr>
        <w:t>(</w:t>
      </w:r>
      <w:r w:rsidR="00E85DAC" w:rsidRPr="00E85DAC">
        <w:rPr>
          <w:rFonts w:cs="Calibri"/>
        </w:rPr>
        <w:t>2022)</w:t>
      </w:r>
      <w:r w:rsidR="00E85DAC">
        <w:fldChar w:fldCharType="end"/>
      </w:r>
    </w:p>
    <w:p w14:paraId="0E873242" w14:textId="6DF58796" w:rsidR="000F5B2D" w:rsidRPr="000E029E" w:rsidRDefault="000F5B2D" w:rsidP="000F5B2D">
      <w:pPr>
        <w:pStyle w:val="USBodyText"/>
        <w:rPr>
          <w:sz w:val="24"/>
          <w:szCs w:val="24"/>
        </w:rPr>
      </w:pPr>
      <w:r w:rsidRPr="000E029E">
        <w:rPr>
          <w:sz w:val="24"/>
          <w:szCs w:val="24"/>
        </w:rPr>
        <w:lastRenderedPageBreak/>
        <w:t>The employment rate of</w:t>
      </w:r>
      <w:r w:rsidR="00D30294" w:rsidRPr="000E029E">
        <w:rPr>
          <w:sz w:val="24"/>
          <w:szCs w:val="24"/>
        </w:rPr>
        <w:t xml:space="preserve"> disabled</w:t>
      </w:r>
      <w:r w:rsidR="006C3389" w:rsidRPr="000E029E">
        <w:rPr>
          <w:sz w:val="24"/>
          <w:szCs w:val="24"/>
        </w:rPr>
        <w:t xml:space="preserve"> people</w:t>
      </w:r>
      <w:r w:rsidRPr="000E029E">
        <w:rPr>
          <w:sz w:val="24"/>
          <w:szCs w:val="24"/>
        </w:rPr>
        <w:t xml:space="preserve"> is consistently lower than that of </w:t>
      </w:r>
      <w:r w:rsidR="006C3389" w:rsidRPr="000E029E">
        <w:rPr>
          <w:sz w:val="24"/>
          <w:szCs w:val="24"/>
        </w:rPr>
        <w:t>non</w:t>
      </w:r>
      <w:r w:rsidR="00E55C0A" w:rsidRPr="000E029E">
        <w:rPr>
          <w:sz w:val="24"/>
          <w:szCs w:val="24"/>
        </w:rPr>
        <w:t>-disabled</w:t>
      </w:r>
      <w:r w:rsidR="00F82826" w:rsidRPr="000E029E">
        <w:rPr>
          <w:sz w:val="24"/>
          <w:szCs w:val="24"/>
        </w:rPr>
        <w:t xml:space="preserve"> people</w:t>
      </w:r>
      <w:r w:rsidRPr="000E029E">
        <w:rPr>
          <w:sz w:val="24"/>
          <w:szCs w:val="24"/>
        </w:rPr>
        <w:t xml:space="preserve">. On average, </w:t>
      </w:r>
      <w:r w:rsidR="00F82826" w:rsidRPr="000E029E">
        <w:rPr>
          <w:sz w:val="24"/>
          <w:szCs w:val="24"/>
        </w:rPr>
        <w:t xml:space="preserve">disabled people </w:t>
      </w:r>
      <w:r w:rsidRPr="000E029E">
        <w:rPr>
          <w:sz w:val="24"/>
          <w:szCs w:val="24"/>
        </w:rPr>
        <w:t>are approximately 40</w:t>
      </w:r>
      <w:r w:rsidR="00F82826" w:rsidRPr="000E029E">
        <w:rPr>
          <w:sz w:val="24"/>
          <w:szCs w:val="24"/>
        </w:rPr>
        <w:t xml:space="preserve"> percent </w:t>
      </w:r>
      <w:r w:rsidRPr="000E029E">
        <w:rPr>
          <w:sz w:val="24"/>
          <w:szCs w:val="24"/>
        </w:rPr>
        <w:t>less likely to be in employment, and they experience unemployment rates more than twice as high as those observed for</w:t>
      </w:r>
      <w:r w:rsidR="006F4550" w:rsidRPr="000E029E">
        <w:rPr>
          <w:sz w:val="24"/>
          <w:szCs w:val="24"/>
        </w:rPr>
        <w:t xml:space="preserve"> non-disabled people</w:t>
      </w:r>
      <w:r w:rsidRPr="000E029E">
        <w:rPr>
          <w:sz w:val="24"/>
          <w:szCs w:val="24"/>
        </w:rPr>
        <w:t xml:space="preserve">. Although educational attainment among </w:t>
      </w:r>
      <w:r w:rsidR="006F4550" w:rsidRPr="000E029E">
        <w:rPr>
          <w:sz w:val="24"/>
          <w:szCs w:val="24"/>
        </w:rPr>
        <w:t xml:space="preserve">disabled people </w:t>
      </w:r>
      <w:r w:rsidRPr="000E029E">
        <w:rPr>
          <w:sz w:val="24"/>
          <w:szCs w:val="24"/>
        </w:rPr>
        <w:t xml:space="preserve">has improved, the relative education and skills gaps </w:t>
      </w:r>
      <w:r w:rsidR="006F4550" w:rsidRPr="000E029E">
        <w:rPr>
          <w:sz w:val="24"/>
          <w:szCs w:val="24"/>
        </w:rPr>
        <w:t>persist</w:t>
      </w:r>
      <w:r w:rsidRPr="000E029E">
        <w:rPr>
          <w:sz w:val="24"/>
          <w:szCs w:val="24"/>
        </w:rPr>
        <w:t>. The pace of improvement has been insufficient to reduce the employment disparity, suggesting that supply-side measures alone are inadequate.</w:t>
      </w:r>
    </w:p>
    <w:p w14:paraId="558D9120" w14:textId="721BFC87" w:rsidR="000F5B2D" w:rsidRPr="000E029E" w:rsidRDefault="000F5B2D" w:rsidP="000F5B2D">
      <w:pPr>
        <w:pStyle w:val="USBodyText"/>
        <w:rPr>
          <w:sz w:val="24"/>
          <w:szCs w:val="24"/>
        </w:rPr>
      </w:pPr>
      <w:r w:rsidRPr="000E029E">
        <w:rPr>
          <w:sz w:val="24"/>
          <w:szCs w:val="24"/>
        </w:rPr>
        <w:t xml:space="preserve">The disadvantage is particularly pronounced for young </w:t>
      </w:r>
      <w:r w:rsidR="006F4550" w:rsidRPr="000E029E">
        <w:rPr>
          <w:sz w:val="24"/>
          <w:szCs w:val="24"/>
        </w:rPr>
        <w:t>disabled people</w:t>
      </w:r>
      <w:r w:rsidRPr="000E029E">
        <w:rPr>
          <w:sz w:val="24"/>
          <w:szCs w:val="24"/>
        </w:rPr>
        <w:t xml:space="preserve">. </w:t>
      </w:r>
      <w:r w:rsidR="006F4550" w:rsidRPr="000E029E">
        <w:rPr>
          <w:sz w:val="24"/>
          <w:szCs w:val="24"/>
        </w:rPr>
        <w:t>Young disabled people</w:t>
      </w:r>
      <w:r w:rsidRPr="000E029E">
        <w:rPr>
          <w:sz w:val="24"/>
          <w:szCs w:val="24"/>
        </w:rPr>
        <w:t xml:space="preserve"> face elevated risks of early school leaving and are disproportionately represented among those not in employment, education, or training (NEET). Mental health conditions, particularly chronic depression, have become a significant and increasing contributor to disability prevalence among young cohorts. This trend has been exacerbated by the COVID-19 pandemic, which has worsened mental health outcomes in many OECD countries.</w:t>
      </w:r>
    </w:p>
    <w:p w14:paraId="72164469" w14:textId="501B89D5" w:rsidR="000F5B2D" w:rsidRPr="000E029E" w:rsidRDefault="000F5B2D" w:rsidP="000F5B2D">
      <w:pPr>
        <w:pStyle w:val="USBodyText"/>
        <w:rPr>
          <w:sz w:val="24"/>
          <w:szCs w:val="24"/>
        </w:rPr>
      </w:pPr>
      <w:r w:rsidRPr="000E029E">
        <w:rPr>
          <w:sz w:val="24"/>
          <w:szCs w:val="24"/>
        </w:rPr>
        <w:t xml:space="preserve">Labour market dynamics </w:t>
      </w:r>
      <w:r w:rsidR="006F4550" w:rsidRPr="000E029E">
        <w:rPr>
          <w:sz w:val="24"/>
          <w:szCs w:val="24"/>
        </w:rPr>
        <w:t>suggest</w:t>
      </w:r>
      <w:r w:rsidRPr="000E029E">
        <w:rPr>
          <w:sz w:val="24"/>
          <w:szCs w:val="24"/>
        </w:rPr>
        <w:t xml:space="preserve"> that </w:t>
      </w:r>
      <w:r w:rsidR="006F4550" w:rsidRPr="000E029E">
        <w:rPr>
          <w:sz w:val="24"/>
          <w:szCs w:val="24"/>
        </w:rPr>
        <w:t xml:space="preserve">disabled people </w:t>
      </w:r>
      <w:r w:rsidRPr="000E029E">
        <w:rPr>
          <w:sz w:val="24"/>
          <w:szCs w:val="24"/>
        </w:rPr>
        <w:t xml:space="preserve">face higher barriers to labour market entry and are more likely to exit employment. Hiring rates for </w:t>
      </w:r>
      <w:r w:rsidR="006F4550" w:rsidRPr="000E029E">
        <w:rPr>
          <w:sz w:val="24"/>
          <w:szCs w:val="24"/>
        </w:rPr>
        <w:t xml:space="preserve">disabled people </w:t>
      </w:r>
      <w:r w:rsidRPr="000E029E">
        <w:rPr>
          <w:sz w:val="24"/>
          <w:szCs w:val="24"/>
        </w:rPr>
        <w:t xml:space="preserve">are consistently lower, and transitions into unemployment or inactivity are more frequent compared to </w:t>
      </w:r>
      <w:r w:rsidR="006F4550" w:rsidRPr="000E029E">
        <w:rPr>
          <w:sz w:val="24"/>
          <w:szCs w:val="24"/>
        </w:rPr>
        <w:t>non-disabled people</w:t>
      </w:r>
      <w:r w:rsidRPr="000E029E">
        <w:rPr>
          <w:sz w:val="24"/>
          <w:szCs w:val="24"/>
        </w:rPr>
        <w:t xml:space="preserve">. However, once employed, </w:t>
      </w:r>
      <w:r w:rsidR="00E8529D" w:rsidRPr="000E029E">
        <w:rPr>
          <w:sz w:val="24"/>
          <w:szCs w:val="24"/>
        </w:rPr>
        <w:t xml:space="preserve">disabled people </w:t>
      </w:r>
      <w:r w:rsidR="0075773D">
        <w:rPr>
          <w:sz w:val="24"/>
          <w:szCs w:val="24"/>
        </w:rPr>
        <w:t>exhibit job-to-job mobility rates similar to those of</w:t>
      </w:r>
      <w:r w:rsidRPr="000E029E">
        <w:rPr>
          <w:sz w:val="24"/>
          <w:szCs w:val="24"/>
        </w:rPr>
        <w:t xml:space="preserve"> their counterparts, indicating that, conditional on employment, their labour market attachment is comparable</w:t>
      </w:r>
      <w:r w:rsidR="00B05B79" w:rsidRPr="000E029E">
        <w:rPr>
          <w:sz w:val="24"/>
          <w:szCs w:val="24"/>
        </w:rPr>
        <w:t>.</w:t>
      </w:r>
    </w:p>
    <w:p w14:paraId="5C03DF3C" w14:textId="4B839FB9" w:rsidR="000F5B2D" w:rsidRPr="000E029E" w:rsidRDefault="000F5B2D" w:rsidP="000F5B2D">
      <w:pPr>
        <w:pStyle w:val="USBodyText"/>
        <w:rPr>
          <w:sz w:val="24"/>
          <w:szCs w:val="24"/>
        </w:rPr>
      </w:pPr>
      <w:r w:rsidRPr="000E029E">
        <w:rPr>
          <w:sz w:val="24"/>
          <w:szCs w:val="24"/>
        </w:rPr>
        <w:t xml:space="preserve">The report emphasises the importance of early intervention, particularly in </w:t>
      </w:r>
      <w:r w:rsidR="00E8529D" w:rsidRPr="000E029E">
        <w:rPr>
          <w:sz w:val="24"/>
          <w:szCs w:val="24"/>
        </w:rPr>
        <w:t>managing sickness absences and preventing</w:t>
      </w:r>
      <w:r w:rsidRPr="000E029E">
        <w:rPr>
          <w:sz w:val="24"/>
          <w:szCs w:val="24"/>
        </w:rPr>
        <w:t xml:space="preserve"> long-term labour market exit. Countries with more active sickness benefit management and early return-to-work policies are better positioned to prevent transitions from temporary sickness to permanent disability benefit dependency. The role of public employment services (PES) is critical </w:t>
      </w:r>
      <w:r w:rsidR="00CC6E5F">
        <w:rPr>
          <w:sz w:val="24"/>
          <w:szCs w:val="24"/>
        </w:rPr>
        <w:t xml:space="preserve">for </w:t>
      </w:r>
      <w:r w:rsidRPr="000E029E">
        <w:rPr>
          <w:sz w:val="24"/>
          <w:szCs w:val="24"/>
        </w:rPr>
        <w:t>early identification of health-related employment barriers and in delivering integrated employment and health services.</w:t>
      </w:r>
    </w:p>
    <w:p w14:paraId="2B079843" w14:textId="4C141158" w:rsidR="000F5B2D" w:rsidRPr="000E029E" w:rsidRDefault="000F5B2D" w:rsidP="000F5B2D">
      <w:pPr>
        <w:pStyle w:val="USBodyText"/>
        <w:rPr>
          <w:sz w:val="24"/>
          <w:szCs w:val="24"/>
        </w:rPr>
      </w:pPr>
      <w:r w:rsidRPr="000E029E">
        <w:rPr>
          <w:sz w:val="24"/>
          <w:szCs w:val="24"/>
        </w:rPr>
        <w:t xml:space="preserve">Policies targeting </w:t>
      </w:r>
      <w:r w:rsidR="001C4F87" w:rsidRPr="000E029E">
        <w:rPr>
          <w:sz w:val="24"/>
          <w:szCs w:val="24"/>
        </w:rPr>
        <w:t xml:space="preserve">young disabled people </w:t>
      </w:r>
      <w:r w:rsidRPr="000E029E">
        <w:rPr>
          <w:sz w:val="24"/>
          <w:szCs w:val="24"/>
        </w:rPr>
        <w:t xml:space="preserve">require specific attention. The report identifies the need to improve school-to-work transitions through inclusive education and active labour market programmes. Mandatory registration with PES, along with conditional participation in training and vocational support, is recommended to improve outcomes for this group. Current youth policies insufficiently address the compounded barriers faced by </w:t>
      </w:r>
      <w:r w:rsidR="001C4F87" w:rsidRPr="000E029E">
        <w:rPr>
          <w:sz w:val="24"/>
          <w:szCs w:val="24"/>
        </w:rPr>
        <w:t>young disabled people</w:t>
      </w:r>
      <w:r w:rsidRPr="000E029E">
        <w:rPr>
          <w:sz w:val="24"/>
          <w:szCs w:val="24"/>
        </w:rPr>
        <w:t>.</w:t>
      </w:r>
    </w:p>
    <w:p w14:paraId="1F4EFD3A" w14:textId="38EA2FFD" w:rsidR="000F5B2D" w:rsidRPr="000E029E" w:rsidRDefault="000F5B2D" w:rsidP="000F5B2D">
      <w:pPr>
        <w:pStyle w:val="USBodyText"/>
        <w:rPr>
          <w:sz w:val="24"/>
          <w:szCs w:val="24"/>
        </w:rPr>
      </w:pPr>
      <w:r w:rsidRPr="000E029E">
        <w:rPr>
          <w:sz w:val="24"/>
          <w:szCs w:val="24"/>
        </w:rPr>
        <w:t xml:space="preserve">The report also examines the potential implications of structural labour market changes, including digitalisation, automation, and the expansion of non-standard forms of employment. </w:t>
      </w:r>
      <w:r w:rsidR="001C4F87" w:rsidRPr="000E029E">
        <w:rPr>
          <w:sz w:val="24"/>
          <w:szCs w:val="24"/>
        </w:rPr>
        <w:t>Disabled people</w:t>
      </w:r>
      <w:r w:rsidRPr="000E029E">
        <w:rPr>
          <w:sz w:val="24"/>
          <w:szCs w:val="24"/>
        </w:rPr>
        <w:t xml:space="preserve"> are overrepresented in occupations at high risk of automation and are less likely to hold roles amenable to teleworking. Without targeted policy intervention, these structural changes risk further entrenching labour market disadvantage. Investment in assistive technologies, the promotion of universal design in product and service development, and improved accessibility of digital tools are identified as critical policy responses.</w:t>
      </w:r>
    </w:p>
    <w:p w14:paraId="4C862C3D" w14:textId="34654468" w:rsidR="000F5B2D" w:rsidRPr="000E029E" w:rsidRDefault="000F5B2D" w:rsidP="000F5B2D">
      <w:pPr>
        <w:pStyle w:val="USBodyText"/>
        <w:rPr>
          <w:sz w:val="24"/>
          <w:szCs w:val="24"/>
        </w:rPr>
      </w:pPr>
      <w:r w:rsidRPr="000E029E">
        <w:rPr>
          <w:sz w:val="24"/>
          <w:szCs w:val="24"/>
        </w:rPr>
        <w:t xml:space="preserve">The quality of employment for </w:t>
      </w:r>
      <w:r w:rsidR="001C4F87" w:rsidRPr="000E029E">
        <w:rPr>
          <w:sz w:val="24"/>
          <w:szCs w:val="24"/>
        </w:rPr>
        <w:t xml:space="preserve">disabled people </w:t>
      </w:r>
      <w:r w:rsidRPr="000E029E">
        <w:rPr>
          <w:sz w:val="24"/>
          <w:szCs w:val="24"/>
        </w:rPr>
        <w:t xml:space="preserve">is consistently lower across measured dimensions. </w:t>
      </w:r>
      <w:r w:rsidR="001C4F87" w:rsidRPr="000E029E">
        <w:rPr>
          <w:sz w:val="24"/>
          <w:szCs w:val="24"/>
        </w:rPr>
        <w:t>Disabled people</w:t>
      </w:r>
      <w:r w:rsidRPr="000E029E">
        <w:rPr>
          <w:sz w:val="24"/>
          <w:szCs w:val="24"/>
        </w:rPr>
        <w:t xml:space="preserve"> are more likely to work part-time, face </w:t>
      </w:r>
      <w:r w:rsidRPr="000E029E">
        <w:rPr>
          <w:sz w:val="24"/>
          <w:szCs w:val="24"/>
        </w:rPr>
        <w:lastRenderedPageBreak/>
        <w:t xml:space="preserve">lower wages, and are more often engaged in jobs with low autonomy and high routine content. The disability wage penalty persists, with average hourly wages for </w:t>
      </w:r>
      <w:r w:rsidR="001C4F87" w:rsidRPr="000E029E">
        <w:rPr>
          <w:sz w:val="24"/>
          <w:szCs w:val="24"/>
        </w:rPr>
        <w:t>disabled people</w:t>
      </w:r>
      <w:r w:rsidRPr="000E029E">
        <w:rPr>
          <w:sz w:val="24"/>
          <w:szCs w:val="24"/>
        </w:rPr>
        <w:t xml:space="preserve"> approximately 10</w:t>
      </w:r>
      <w:r w:rsidR="001C4F87" w:rsidRPr="000E029E">
        <w:rPr>
          <w:sz w:val="24"/>
          <w:szCs w:val="24"/>
        </w:rPr>
        <w:t xml:space="preserve"> to </w:t>
      </w:r>
      <w:r w:rsidRPr="000E029E">
        <w:rPr>
          <w:sz w:val="24"/>
          <w:szCs w:val="24"/>
        </w:rPr>
        <w:t>15</w:t>
      </w:r>
      <w:r w:rsidR="001C4F87" w:rsidRPr="000E029E">
        <w:rPr>
          <w:sz w:val="24"/>
          <w:szCs w:val="24"/>
        </w:rPr>
        <w:t xml:space="preserve"> percent </w:t>
      </w:r>
      <w:r w:rsidRPr="000E029E">
        <w:rPr>
          <w:sz w:val="24"/>
          <w:szCs w:val="24"/>
        </w:rPr>
        <w:t xml:space="preserve">lower than those for </w:t>
      </w:r>
      <w:r w:rsidR="001C4F87" w:rsidRPr="000E029E">
        <w:rPr>
          <w:sz w:val="24"/>
          <w:szCs w:val="24"/>
        </w:rPr>
        <w:t>non-disabled people</w:t>
      </w:r>
      <w:r w:rsidRPr="000E029E">
        <w:rPr>
          <w:sz w:val="24"/>
          <w:szCs w:val="24"/>
        </w:rPr>
        <w:t xml:space="preserve"> across most countries.</w:t>
      </w:r>
    </w:p>
    <w:p w14:paraId="0E056BC0" w14:textId="15929CC2" w:rsidR="005F4AED" w:rsidRPr="000E029E" w:rsidRDefault="000F5B2D" w:rsidP="000F5B2D">
      <w:pPr>
        <w:pStyle w:val="USBodyText"/>
        <w:rPr>
          <w:sz w:val="24"/>
          <w:szCs w:val="24"/>
        </w:rPr>
      </w:pPr>
      <w:r w:rsidRPr="000E029E">
        <w:rPr>
          <w:sz w:val="24"/>
          <w:szCs w:val="24"/>
        </w:rPr>
        <w:t xml:space="preserve">The report identifies a persistent skills gap as a major constraint on the employment prospects of </w:t>
      </w:r>
      <w:r w:rsidR="0031552A" w:rsidRPr="000E029E">
        <w:rPr>
          <w:sz w:val="24"/>
          <w:szCs w:val="24"/>
        </w:rPr>
        <w:t>disabled people</w:t>
      </w:r>
      <w:r w:rsidRPr="000E029E">
        <w:rPr>
          <w:sz w:val="24"/>
          <w:szCs w:val="24"/>
        </w:rPr>
        <w:t xml:space="preserve">. Participation in adult learning programmes is substantially lower among </w:t>
      </w:r>
      <w:r w:rsidR="0031552A" w:rsidRPr="000E029E">
        <w:rPr>
          <w:sz w:val="24"/>
          <w:szCs w:val="24"/>
        </w:rPr>
        <w:t>disabled people</w:t>
      </w:r>
      <w:r w:rsidRPr="000E029E">
        <w:rPr>
          <w:sz w:val="24"/>
          <w:szCs w:val="24"/>
        </w:rPr>
        <w:t>, particularly among the non-employed. This gap reflects both systemic exclusion and individual barriers such as time and cost constraints. The report recommends the</w:t>
      </w:r>
      <w:r w:rsidR="005F4AED" w:rsidRPr="000E029E">
        <w:rPr>
          <w:sz w:val="24"/>
          <w:szCs w:val="24"/>
        </w:rPr>
        <w:t xml:space="preserve"> following actions: </w:t>
      </w:r>
    </w:p>
    <w:p w14:paraId="0E8E8A04" w14:textId="2BFE1563" w:rsidR="005F4AED" w:rsidRPr="000E029E" w:rsidRDefault="000F5B2D" w:rsidP="005F4AED">
      <w:pPr>
        <w:pStyle w:val="USBullet1"/>
        <w:rPr>
          <w:sz w:val="24"/>
          <w:szCs w:val="24"/>
        </w:rPr>
      </w:pPr>
      <w:r w:rsidRPr="000E029E">
        <w:rPr>
          <w:sz w:val="24"/>
          <w:szCs w:val="24"/>
        </w:rPr>
        <w:t>adoption of universal design principles in adult learning system</w:t>
      </w:r>
      <w:r w:rsidR="001C4F87" w:rsidRPr="000E029E">
        <w:rPr>
          <w:sz w:val="24"/>
          <w:szCs w:val="24"/>
        </w:rPr>
        <w:t>s</w:t>
      </w:r>
      <w:r w:rsidRPr="000E029E">
        <w:rPr>
          <w:sz w:val="24"/>
          <w:szCs w:val="24"/>
        </w:rPr>
        <w:t xml:space="preserve"> </w:t>
      </w:r>
    </w:p>
    <w:p w14:paraId="590309AA" w14:textId="77777777" w:rsidR="00AB6B61" w:rsidRPr="000E029E" w:rsidRDefault="000F5B2D" w:rsidP="005F4AED">
      <w:pPr>
        <w:pStyle w:val="USBullet1"/>
        <w:rPr>
          <w:sz w:val="24"/>
          <w:szCs w:val="24"/>
        </w:rPr>
      </w:pPr>
      <w:r w:rsidRPr="000E029E">
        <w:rPr>
          <w:sz w:val="24"/>
          <w:szCs w:val="24"/>
        </w:rPr>
        <w:t>targeted financial incentives</w:t>
      </w:r>
    </w:p>
    <w:p w14:paraId="7F65572A" w14:textId="0E8EDB0C" w:rsidR="000F5B2D" w:rsidRPr="000E029E" w:rsidRDefault="000F5B2D" w:rsidP="003160B8">
      <w:pPr>
        <w:pStyle w:val="USBullet1"/>
        <w:rPr>
          <w:sz w:val="24"/>
          <w:szCs w:val="24"/>
        </w:rPr>
      </w:pPr>
      <w:r w:rsidRPr="000E029E">
        <w:rPr>
          <w:sz w:val="24"/>
          <w:szCs w:val="24"/>
        </w:rPr>
        <w:t>broader access to training leave to address these barriers.</w:t>
      </w:r>
    </w:p>
    <w:p w14:paraId="48574D5F" w14:textId="13897138" w:rsidR="00047B5B" w:rsidRPr="00047B5B" w:rsidRDefault="00047B5B" w:rsidP="0050652D">
      <w:pPr>
        <w:pStyle w:val="Heading2"/>
      </w:pPr>
      <w:bookmarkStart w:id="17" w:name="_Toc220924666"/>
      <w:r w:rsidRPr="00047B5B">
        <w:t xml:space="preserve">Remote </w:t>
      </w:r>
      <w:r w:rsidR="005B592C">
        <w:t>w</w:t>
      </w:r>
      <w:r w:rsidR="005B592C" w:rsidRPr="00047B5B">
        <w:t xml:space="preserve">orking </w:t>
      </w:r>
      <w:r w:rsidRPr="00047B5B">
        <w:t xml:space="preserve">and </w:t>
      </w:r>
      <w:r w:rsidR="005B592C">
        <w:t>l</w:t>
      </w:r>
      <w:r w:rsidRPr="00047B5B">
        <w:t xml:space="preserve">abour </w:t>
      </w:r>
      <w:r w:rsidR="005B592C">
        <w:t>m</w:t>
      </w:r>
      <w:r w:rsidR="005B592C" w:rsidRPr="00047B5B">
        <w:t xml:space="preserve">arket </w:t>
      </w:r>
      <w:r w:rsidR="005B592C">
        <w:t>o</w:t>
      </w:r>
      <w:r w:rsidRPr="00047B5B">
        <w:t>utcomes for</w:t>
      </w:r>
      <w:r w:rsidR="00635752">
        <w:t xml:space="preserve"> disabled people</w:t>
      </w:r>
      <w:bookmarkEnd w:id="17"/>
      <w:r w:rsidR="00635752">
        <w:t xml:space="preserve"> </w:t>
      </w:r>
    </w:p>
    <w:p w14:paraId="58401BA3" w14:textId="15E02177" w:rsidR="00047B5B" w:rsidRPr="000E029E" w:rsidRDefault="00047B5B" w:rsidP="00047B5B">
      <w:pPr>
        <w:pStyle w:val="USBodyText"/>
        <w:rPr>
          <w:sz w:val="24"/>
          <w:szCs w:val="24"/>
        </w:rPr>
      </w:pPr>
      <w:r w:rsidRPr="000E029E">
        <w:rPr>
          <w:sz w:val="24"/>
          <w:szCs w:val="24"/>
        </w:rPr>
        <w:t>Recent economic research and policy analysis have examined the extent to which remote and hybrid working arrangements can improve employment outcomes for</w:t>
      </w:r>
      <w:r w:rsidR="00635752" w:rsidRPr="000E029E">
        <w:rPr>
          <w:sz w:val="24"/>
          <w:szCs w:val="24"/>
        </w:rPr>
        <w:t xml:space="preserve"> disabled</w:t>
      </w:r>
      <w:r w:rsidRPr="000E029E">
        <w:rPr>
          <w:sz w:val="24"/>
          <w:szCs w:val="24"/>
        </w:rPr>
        <w:t xml:space="preserve"> people </w:t>
      </w:r>
      <w:r w:rsidR="0031552A" w:rsidRPr="000E029E">
        <w:rPr>
          <w:sz w:val="24"/>
          <w:szCs w:val="24"/>
        </w:rPr>
        <w:t>in</w:t>
      </w:r>
      <w:r w:rsidRPr="000E029E">
        <w:rPr>
          <w:sz w:val="24"/>
          <w:szCs w:val="24"/>
        </w:rPr>
        <w:t xml:space="preserve"> OECD countries. The COVID-19 pandemic significantly accelerated the adoption of telework</w:t>
      </w:r>
      <w:r w:rsidR="00472000">
        <w:rPr>
          <w:sz w:val="24"/>
          <w:szCs w:val="24"/>
        </w:rPr>
        <w:t>, raising the question of whether this shift in work practices can help reduce</w:t>
      </w:r>
      <w:r w:rsidRPr="000E029E">
        <w:rPr>
          <w:sz w:val="24"/>
          <w:szCs w:val="24"/>
        </w:rPr>
        <w:t xml:space="preserve"> the persistent disability employment gap.</w:t>
      </w:r>
    </w:p>
    <w:p w14:paraId="2E712C29" w14:textId="347CD220" w:rsidR="00047B5B" w:rsidRPr="000E029E" w:rsidRDefault="00C01B81" w:rsidP="00047B5B">
      <w:pPr>
        <w:pStyle w:val="USBodyText"/>
        <w:rPr>
          <w:sz w:val="24"/>
          <w:szCs w:val="24"/>
        </w:rPr>
      </w:pPr>
      <w:r w:rsidRPr="000E029E">
        <w:rPr>
          <w:sz w:val="24"/>
          <w:szCs w:val="24"/>
        </w:rPr>
        <w:fldChar w:fldCharType="begin"/>
      </w:r>
      <w:r w:rsidR="00B149C2">
        <w:rPr>
          <w:sz w:val="24"/>
          <w:szCs w:val="24"/>
        </w:rPr>
        <w:instrText xml:space="preserve"> ADDIN ZOTERO_ITEM CSL_CITATION {"citationID":"U4Qp3Yay","properties":{"formattedCitation":"(Hoque and Bacon 2022)","plainCitation":"(Hoque and Bacon 2022)","dontUpdate":true,"noteIndex":0},"citationItems":[{"id":85594,"uris":["http://zotero.org/groups/2546341/items/ZX9EBZTY"],"itemData":{"id":85594,"type":"article-journal","abstract":"This paper assesses disabled employees’ likelihood of working from home relative to non‐disabled employees, and the implications of doing so for their experiences of work. Analysing British nationally representative data, the findings suggest that disabled employees are less likely to work from home than non‐disabled employees, given they are disproportionately excluded from the higher‐paying and/or managerial roles in which working from home is more widely available. In addition, organizations in which working from home is more commonplace do not employ a higher proportion of disabled people. The results also confirm disabled employees report poorer experiences of work than non‐disabled employees regarding job control, job‐related mental health, job satisfaction and work–life balance. Although working from home is positively associated with these outcomes (except for work–life balance) for both disabled and non‐disabled employees, there is very little evidence it is associated with smaller disability gaps in these outcomes. Therefore, our analysis questions the potential for working from home to reduce disability disadvantage within organizations, and highlights the need for more substantial action to address the barriers to employment that disabled people encounter.","container-title":"British Journal of Industrial Relations","DOI":"10.1111/bjir.12645","ISSN":"0007-1080","page":"32-56","source":"King's College London","title":"Working from home and disabled people’s employment outcomes","volume":"60","author":[{"family":"Hoque","given":"Kim"},{"family":"Bacon","given":"Nick"}],"issued":{"date-parts":[["2022",3]]}}}],"schema":"https://github.com/citation-style-language/schema/raw/master/csl-citation.json"} </w:instrText>
      </w:r>
      <w:r w:rsidRPr="000E029E">
        <w:rPr>
          <w:sz w:val="24"/>
          <w:szCs w:val="24"/>
        </w:rPr>
        <w:fldChar w:fldCharType="separate"/>
      </w:r>
      <w:r w:rsidRPr="000E029E">
        <w:rPr>
          <w:rFonts w:cs="Calibri"/>
          <w:sz w:val="24"/>
          <w:szCs w:val="24"/>
        </w:rPr>
        <w:t>Hoque and Bacon (2022)</w:t>
      </w:r>
      <w:r w:rsidRPr="000E029E">
        <w:rPr>
          <w:sz w:val="24"/>
          <w:szCs w:val="24"/>
        </w:rPr>
        <w:fldChar w:fldCharType="end"/>
      </w:r>
      <w:r w:rsidR="00047B5B" w:rsidRPr="000E029E">
        <w:rPr>
          <w:sz w:val="24"/>
          <w:szCs w:val="24"/>
        </w:rPr>
        <w:t xml:space="preserve"> provide a detailed empirical analysis on this topic using nationally representative data from the United Kingdom. </w:t>
      </w:r>
      <w:r w:rsidRPr="000E029E">
        <w:rPr>
          <w:sz w:val="24"/>
          <w:szCs w:val="24"/>
        </w:rPr>
        <w:t>Their study</w:t>
      </w:r>
      <w:r w:rsidR="00047B5B" w:rsidRPr="000E029E">
        <w:rPr>
          <w:sz w:val="24"/>
          <w:szCs w:val="24"/>
        </w:rPr>
        <w:t xml:space="preserve"> </w:t>
      </w:r>
      <w:r w:rsidRPr="000E029E">
        <w:rPr>
          <w:sz w:val="24"/>
          <w:szCs w:val="24"/>
        </w:rPr>
        <w:t>found</w:t>
      </w:r>
      <w:r w:rsidR="00047B5B" w:rsidRPr="000E029E">
        <w:rPr>
          <w:sz w:val="24"/>
          <w:szCs w:val="24"/>
        </w:rPr>
        <w:t xml:space="preserve"> that </w:t>
      </w:r>
      <w:r w:rsidR="004D1C58" w:rsidRPr="000E029E">
        <w:rPr>
          <w:sz w:val="24"/>
          <w:szCs w:val="24"/>
        </w:rPr>
        <w:t xml:space="preserve">disabled people </w:t>
      </w:r>
      <w:r w:rsidR="00047B5B" w:rsidRPr="000E029E">
        <w:rPr>
          <w:sz w:val="24"/>
          <w:szCs w:val="24"/>
        </w:rPr>
        <w:t>are consistently less likely to work from home compared to</w:t>
      </w:r>
      <w:r w:rsidR="00CC2A63" w:rsidRPr="000E029E">
        <w:rPr>
          <w:sz w:val="24"/>
          <w:szCs w:val="24"/>
        </w:rPr>
        <w:t xml:space="preserve"> non-disabled</w:t>
      </w:r>
      <w:r w:rsidR="00047B5B" w:rsidRPr="000E029E">
        <w:rPr>
          <w:sz w:val="24"/>
          <w:szCs w:val="24"/>
        </w:rPr>
        <w:t xml:space="preserve"> people</w:t>
      </w:r>
      <w:r w:rsidR="00CC2A63" w:rsidRPr="000E029E">
        <w:rPr>
          <w:sz w:val="24"/>
          <w:szCs w:val="24"/>
        </w:rPr>
        <w:t>.</w:t>
      </w:r>
      <w:r w:rsidR="00047B5B" w:rsidRPr="000E029E">
        <w:rPr>
          <w:sz w:val="24"/>
          <w:szCs w:val="24"/>
        </w:rPr>
        <w:t xml:space="preserve"> This outcome persists even after controlling for occupational and sectoral differences and is largely attributed to the underrepresentation of </w:t>
      </w:r>
      <w:r w:rsidR="00547336" w:rsidRPr="000E029E">
        <w:rPr>
          <w:sz w:val="24"/>
          <w:szCs w:val="24"/>
        </w:rPr>
        <w:t xml:space="preserve">disabled people </w:t>
      </w:r>
      <w:r w:rsidR="00047B5B" w:rsidRPr="000E029E">
        <w:rPr>
          <w:sz w:val="24"/>
          <w:szCs w:val="24"/>
        </w:rPr>
        <w:t xml:space="preserve">in professional, technical, and managerial roles where remote working is more common. The study also </w:t>
      </w:r>
      <w:r w:rsidR="00547336" w:rsidRPr="000E029E">
        <w:rPr>
          <w:sz w:val="24"/>
          <w:szCs w:val="24"/>
        </w:rPr>
        <w:t xml:space="preserve">found </w:t>
      </w:r>
      <w:r w:rsidR="00047B5B" w:rsidRPr="000E029E">
        <w:rPr>
          <w:sz w:val="24"/>
          <w:szCs w:val="24"/>
        </w:rPr>
        <w:t xml:space="preserve">that remote work arrangements are associated with improved job control, greater job satisfaction, and better mental health outcomes across the entire workforce. However, these benefits do not meaningfully reduce the structural disadvantages experienced by </w:t>
      </w:r>
      <w:r w:rsidR="008A3F55" w:rsidRPr="000E029E">
        <w:rPr>
          <w:sz w:val="24"/>
          <w:szCs w:val="24"/>
        </w:rPr>
        <w:t>disabled people</w:t>
      </w:r>
      <w:r w:rsidR="00047B5B" w:rsidRPr="000E029E">
        <w:rPr>
          <w:sz w:val="24"/>
          <w:szCs w:val="24"/>
        </w:rPr>
        <w:t xml:space="preserve"> in the labour market. The authors conclude that while remote work can improve conditions for some disabled workers, it does not significantly alter the underlying employment disparities unless supported by wider labour market reforms that address systemic barriers to occupational progression and workplace inclusion</w:t>
      </w:r>
      <w:r w:rsidR="00C63F08" w:rsidRPr="000E029E">
        <w:rPr>
          <w:sz w:val="24"/>
          <w:szCs w:val="24"/>
        </w:rPr>
        <w:t>.</w:t>
      </w:r>
      <w:r w:rsidR="00047B5B" w:rsidRPr="000E029E">
        <w:rPr>
          <w:sz w:val="24"/>
          <w:szCs w:val="24"/>
        </w:rPr>
        <w:t xml:space="preserve"> </w:t>
      </w:r>
    </w:p>
    <w:p w14:paraId="46B7E29B" w14:textId="14D1CE82" w:rsidR="00047B5B" w:rsidRPr="000E029E" w:rsidRDefault="00574FC9" w:rsidP="00047B5B">
      <w:pPr>
        <w:pStyle w:val="USBodyText"/>
        <w:rPr>
          <w:sz w:val="24"/>
          <w:szCs w:val="24"/>
        </w:rPr>
      </w:pPr>
      <w:r w:rsidRPr="000E029E">
        <w:rPr>
          <w:sz w:val="24"/>
          <w:szCs w:val="24"/>
        </w:rPr>
        <w:fldChar w:fldCharType="begin"/>
      </w:r>
      <w:r w:rsidR="00B149C2">
        <w:rPr>
          <w:sz w:val="24"/>
          <w:szCs w:val="24"/>
        </w:rPr>
        <w:instrText xml:space="preserve"> ADDIN ZOTERO_ITEM CSL_CITATION {"citationID":"YlPlIO4S","properties":{"formattedCitation":"(Florisson et al. 2025)","plainCitation":"(Florisson et al. 2025)","dontUpdate":true,"noteIndex":0},"citationItems":[{"id":85595,"uris":["http://zotero.org/groups/2546341/items/JNDRVQ8M"],"itemData":{"id":85595,"type":"report","genre":"Interim report of the Inclusive Remote and Hybrid Working Study","publisher":"Lancaster University","title":"Beyond the office? How remote and hybrid working can help close the disability employment gap","URL":"https://www.lancaster.ac.uk/media/lancaster-university/content-assets/documents/lums/work-foundation/reports/BeyondtheOffice(LU,WF,MMU,UI).pdf","author":[{"family":"Florisson","given":"Rebecca"},{"family":"Williams","given":"George"},{"family":"Martin","given":"Alice"},{"family":"Carson","given":"Calum"},{"family":"Holland","given":"Paula"},{"family":"Collins","given":"Alison"},{"family":"Winstanley","given":"Jacqueline"}],"issued":{"date-parts":[["2025"]]}}}],"schema":"https://github.com/citation-style-language/schema/raw/master/csl-citation.json"} </w:instrText>
      </w:r>
      <w:r w:rsidRPr="000E029E">
        <w:rPr>
          <w:sz w:val="24"/>
          <w:szCs w:val="24"/>
        </w:rPr>
        <w:fldChar w:fldCharType="separate"/>
      </w:r>
      <w:r w:rsidR="007C03DA" w:rsidRPr="000E029E">
        <w:rPr>
          <w:rFonts w:cs="Calibri"/>
          <w:sz w:val="24"/>
          <w:szCs w:val="24"/>
        </w:rPr>
        <w:t>Florisson et al. (2025)</w:t>
      </w:r>
      <w:r w:rsidRPr="000E029E">
        <w:rPr>
          <w:sz w:val="24"/>
          <w:szCs w:val="24"/>
        </w:rPr>
        <w:fldChar w:fldCharType="end"/>
      </w:r>
      <w:r w:rsidR="00047B5B" w:rsidRPr="000E029E">
        <w:rPr>
          <w:sz w:val="24"/>
          <w:szCs w:val="24"/>
        </w:rPr>
        <w:t xml:space="preserve"> in their study </w:t>
      </w:r>
      <w:r w:rsidR="007C03DA" w:rsidRPr="000E029E">
        <w:rPr>
          <w:sz w:val="24"/>
          <w:szCs w:val="24"/>
        </w:rPr>
        <w:t xml:space="preserve">focused </w:t>
      </w:r>
      <w:r w:rsidR="00047B5B" w:rsidRPr="000E029E">
        <w:rPr>
          <w:sz w:val="24"/>
          <w:szCs w:val="24"/>
        </w:rPr>
        <w:t xml:space="preserve">on the labour market experiences of </w:t>
      </w:r>
      <w:r w:rsidR="008A3F55" w:rsidRPr="000E029E">
        <w:rPr>
          <w:sz w:val="24"/>
          <w:szCs w:val="24"/>
        </w:rPr>
        <w:t>disabled people</w:t>
      </w:r>
      <w:r w:rsidR="00047B5B" w:rsidRPr="000E029E">
        <w:rPr>
          <w:sz w:val="24"/>
          <w:szCs w:val="24"/>
        </w:rPr>
        <w:t xml:space="preserve"> in the United Kingdom. This study identifies</w:t>
      </w:r>
      <w:r w:rsidR="00C63F08" w:rsidRPr="000E029E">
        <w:rPr>
          <w:sz w:val="24"/>
          <w:szCs w:val="24"/>
        </w:rPr>
        <w:t xml:space="preserve"> a</w:t>
      </w:r>
      <w:r w:rsidR="00047B5B" w:rsidRPr="000E029E">
        <w:rPr>
          <w:sz w:val="24"/>
          <w:szCs w:val="24"/>
        </w:rPr>
        <w:t xml:space="preserve"> strong latent demand for remote and hybrid working among disabled workers. Approximately 85 </w:t>
      </w:r>
      <w:r w:rsidR="004807A2" w:rsidRPr="000E029E">
        <w:rPr>
          <w:sz w:val="24"/>
          <w:szCs w:val="24"/>
        </w:rPr>
        <w:t>percent of respondents with disabilities indicated that access to remote or hybrid work</w:t>
      </w:r>
      <w:r w:rsidR="00047B5B" w:rsidRPr="000E029E">
        <w:rPr>
          <w:sz w:val="24"/>
          <w:szCs w:val="24"/>
        </w:rPr>
        <w:t xml:space="preserve"> is essential or highly desirable when seeking employment. However, the supply of such roles is </w:t>
      </w:r>
      <w:r w:rsidR="004807A2" w:rsidRPr="000E029E">
        <w:rPr>
          <w:sz w:val="24"/>
          <w:szCs w:val="24"/>
        </w:rPr>
        <w:t>minimal</w:t>
      </w:r>
      <w:r w:rsidR="00047B5B" w:rsidRPr="000E029E">
        <w:rPr>
          <w:sz w:val="24"/>
          <w:szCs w:val="24"/>
        </w:rPr>
        <w:t>. The researchers report that only 3.8</w:t>
      </w:r>
      <w:r w:rsidR="007C03DA" w:rsidRPr="000E029E">
        <w:rPr>
          <w:sz w:val="24"/>
          <w:szCs w:val="24"/>
        </w:rPr>
        <w:t xml:space="preserve"> percent</w:t>
      </w:r>
      <w:r w:rsidR="004807A2" w:rsidRPr="000E029E">
        <w:rPr>
          <w:sz w:val="24"/>
          <w:szCs w:val="24"/>
        </w:rPr>
        <w:t xml:space="preserve"> of job postings on the UK Department for Work and Pensions (DWP) platform explicitly offer remote or hybrid work </w:t>
      </w:r>
      <w:r w:rsidR="00047B5B" w:rsidRPr="000E029E">
        <w:rPr>
          <w:sz w:val="24"/>
          <w:szCs w:val="24"/>
        </w:rPr>
        <w:t xml:space="preserve">options. The study also finds that remote work substantially improves the ability of </w:t>
      </w:r>
      <w:r w:rsidR="004807A2" w:rsidRPr="000E029E">
        <w:rPr>
          <w:sz w:val="24"/>
          <w:szCs w:val="24"/>
        </w:rPr>
        <w:t>employees with disabilities to manage their health, with 80 percent</w:t>
      </w:r>
      <w:r w:rsidR="00047B5B" w:rsidRPr="000E029E">
        <w:rPr>
          <w:sz w:val="24"/>
          <w:szCs w:val="24"/>
        </w:rPr>
        <w:t xml:space="preserve"> of participants reporting positive effects. Despite this, the structural </w:t>
      </w:r>
      <w:r w:rsidR="00047B5B" w:rsidRPr="000E029E">
        <w:rPr>
          <w:sz w:val="24"/>
          <w:szCs w:val="24"/>
        </w:rPr>
        <w:lastRenderedPageBreak/>
        <w:t>availability of remote work remains insufficient to meet demand, reflecting a supply constraint in the accessible labour market for</w:t>
      </w:r>
      <w:r w:rsidR="00143BEC" w:rsidRPr="000E029E">
        <w:rPr>
          <w:sz w:val="24"/>
          <w:szCs w:val="24"/>
        </w:rPr>
        <w:t xml:space="preserve"> </w:t>
      </w:r>
      <w:r w:rsidR="00725634" w:rsidRPr="000E029E">
        <w:rPr>
          <w:sz w:val="24"/>
          <w:szCs w:val="24"/>
        </w:rPr>
        <w:t>disabled</w:t>
      </w:r>
      <w:r w:rsidR="00143BEC" w:rsidRPr="000E029E">
        <w:rPr>
          <w:sz w:val="24"/>
          <w:szCs w:val="24"/>
        </w:rPr>
        <w:t xml:space="preserve"> people</w:t>
      </w:r>
      <w:r w:rsidR="00047B5B" w:rsidRPr="000E029E">
        <w:rPr>
          <w:sz w:val="24"/>
          <w:szCs w:val="24"/>
        </w:rPr>
        <w:t>.</w:t>
      </w:r>
    </w:p>
    <w:p w14:paraId="177D399D" w14:textId="527098E3" w:rsidR="00047B5B" w:rsidRPr="000E029E" w:rsidRDefault="00AC1719" w:rsidP="00047B5B">
      <w:pPr>
        <w:pStyle w:val="USBodyText"/>
        <w:rPr>
          <w:sz w:val="24"/>
          <w:szCs w:val="24"/>
        </w:rPr>
      </w:pPr>
      <w:r w:rsidRPr="000E029E">
        <w:rPr>
          <w:sz w:val="24"/>
          <w:szCs w:val="24"/>
        </w:rPr>
        <w:fldChar w:fldCharType="begin"/>
      </w:r>
      <w:r w:rsidR="00B149C2">
        <w:rPr>
          <w:sz w:val="24"/>
          <w:szCs w:val="24"/>
        </w:rPr>
        <w:instrText xml:space="preserve"> ADDIN ZOTERO_ITEM CSL_CITATION {"citationID":"nBmNXags","properties":{"formattedCitation":"(OECD 2023)","plainCitation":"(OECD 2023)","dontUpdate":true,"noteIndex":0},"citationItems":[{"id":85590,"uris":["http://zotero.org/groups/2546341/items/K9A8GRHX"],"itemData":{"id":85590,"type":"webpage","abstract":"Among the various short-term responses to the COVID-19 pandemic, teleworking appears to have evolved into a more permanent change in working practices. However, much remains unknown about its impact on employment relationships within firms.","container-title":"OECD","language":"en","title":"Teleworking, workplace policies and trust","URL":"https://www.oecd.org/en/publications/teleworking-workplace-policies-and-trust_64cd6e8e-en.html","author":[{"family":"OECD","given":""}],"accessed":{"date-parts":[["2025",7,24]]},"issued":{"date-parts":[["2023",3,8]]}}}],"schema":"https://github.com/citation-style-language/schema/raw/master/csl-citation.json"} </w:instrText>
      </w:r>
      <w:r w:rsidRPr="000E029E">
        <w:rPr>
          <w:sz w:val="24"/>
          <w:szCs w:val="24"/>
        </w:rPr>
        <w:fldChar w:fldCharType="separate"/>
      </w:r>
      <w:r w:rsidRPr="000E029E">
        <w:rPr>
          <w:rFonts w:cs="Calibri"/>
          <w:sz w:val="24"/>
          <w:szCs w:val="24"/>
        </w:rPr>
        <w:t xml:space="preserve">OECD </w:t>
      </w:r>
      <w:r w:rsidR="00593199" w:rsidRPr="000E029E">
        <w:rPr>
          <w:rFonts w:cs="Calibri"/>
          <w:sz w:val="24"/>
          <w:szCs w:val="24"/>
        </w:rPr>
        <w:t>(</w:t>
      </w:r>
      <w:r w:rsidRPr="000E029E">
        <w:rPr>
          <w:rFonts w:cs="Calibri"/>
          <w:sz w:val="24"/>
          <w:szCs w:val="24"/>
        </w:rPr>
        <w:t>2023)</w:t>
      </w:r>
      <w:r w:rsidRPr="000E029E">
        <w:rPr>
          <w:sz w:val="24"/>
          <w:szCs w:val="24"/>
        </w:rPr>
        <w:fldChar w:fldCharType="end"/>
      </w:r>
      <w:r w:rsidR="00725634" w:rsidRPr="000E029E">
        <w:rPr>
          <w:sz w:val="24"/>
          <w:szCs w:val="24"/>
        </w:rPr>
        <w:t xml:space="preserve"> </w:t>
      </w:r>
      <w:r w:rsidR="00047B5B" w:rsidRPr="000E029E">
        <w:rPr>
          <w:sz w:val="24"/>
          <w:szCs w:val="24"/>
        </w:rPr>
        <w:t xml:space="preserve">provides complementary analysis in its policy brief </w:t>
      </w:r>
      <w:r w:rsidR="00047B5B" w:rsidRPr="000E029E">
        <w:rPr>
          <w:i/>
          <w:iCs/>
          <w:sz w:val="24"/>
          <w:szCs w:val="24"/>
        </w:rPr>
        <w:t>Teleworking, Workplace Policies and Trust</w:t>
      </w:r>
      <w:r w:rsidR="00047B5B" w:rsidRPr="000E029E">
        <w:rPr>
          <w:sz w:val="24"/>
          <w:szCs w:val="24"/>
        </w:rPr>
        <w:t xml:space="preserve">. The OECD </w:t>
      </w:r>
      <w:r w:rsidR="00B907B7" w:rsidRPr="000E029E">
        <w:rPr>
          <w:sz w:val="24"/>
          <w:szCs w:val="24"/>
        </w:rPr>
        <w:t>emphasises that while the expansion of teleworking has the potential to support labour market inclusion, the benefits will not be fully realised</w:t>
      </w:r>
      <w:r w:rsidR="00047B5B" w:rsidRPr="000E029E">
        <w:rPr>
          <w:sz w:val="24"/>
          <w:szCs w:val="24"/>
        </w:rPr>
        <w:t xml:space="preserve"> without deliberate policy efforts to ensure accessibility. The OECD notes that inclusive teleworking arrangements, trust-based management practices, and investments in assistive technologies are essential for making remote work accessible to </w:t>
      </w:r>
      <w:r w:rsidR="00B734B3" w:rsidRPr="000E029E">
        <w:rPr>
          <w:sz w:val="24"/>
          <w:szCs w:val="24"/>
        </w:rPr>
        <w:t>disabled people</w:t>
      </w:r>
      <w:r w:rsidR="00047B5B" w:rsidRPr="000E029E">
        <w:rPr>
          <w:sz w:val="24"/>
          <w:szCs w:val="24"/>
        </w:rPr>
        <w:t xml:space="preserve"> on equal terms. Furthermore, the OECD highlights the importance of ensuring that social protection systems adequately cover workers in remote, hybrid, and non-standard employment categories. Without inclusive policies, the expansion of teleworking could reinforce existing labour market segmentation</w:t>
      </w:r>
      <w:r w:rsidR="001679A1" w:rsidRPr="000E029E">
        <w:rPr>
          <w:sz w:val="24"/>
          <w:szCs w:val="24"/>
        </w:rPr>
        <w:t>.</w:t>
      </w:r>
      <w:r w:rsidR="00047B5B" w:rsidRPr="000E029E">
        <w:rPr>
          <w:sz w:val="24"/>
          <w:szCs w:val="24"/>
        </w:rPr>
        <w:t xml:space="preserve"> </w:t>
      </w:r>
    </w:p>
    <w:p w14:paraId="3A1805B1" w14:textId="1EE366E1" w:rsidR="00047B5B" w:rsidRPr="000E029E" w:rsidRDefault="00047B5B" w:rsidP="00047B5B">
      <w:pPr>
        <w:pStyle w:val="USBodyText"/>
        <w:rPr>
          <w:sz w:val="24"/>
          <w:szCs w:val="24"/>
        </w:rPr>
      </w:pPr>
      <w:r w:rsidRPr="000E029E">
        <w:rPr>
          <w:sz w:val="24"/>
          <w:szCs w:val="24"/>
        </w:rPr>
        <w:t xml:space="preserve">Collectively, these studies indicate that remote and hybrid working arrangements offer individual-level benefits for </w:t>
      </w:r>
      <w:r w:rsidR="001312BA" w:rsidRPr="000E029E">
        <w:rPr>
          <w:sz w:val="24"/>
          <w:szCs w:val="24"/>
        </w:rPr>
        <w:t xml:space="preserve">disabled people </w:t>
      </w:r>
      <w:r w:rsidRPr="000E029E">
        <w:rPr>
          <w:sz w:val="24"/>
          <w:szCs w:val="24"/>
        </w:rPr>
        <w:t xml:space="preserve">by reducing transport barriers, improving health management, and providing flexible working conditions. However, the capacity of remote work to materially reduce the disability employment gap is limited unless supported by broader structural reforms. These reforms include improving access to higher-skilled occupations, encouraging employer-led inclusive hiring practices, and ensuring that remote work opportunities are systematically available in sectors that are accessible to </w:t>
      </w:r>
      <w:r w:rsidR="00AA720A" w:rsidRPr="000E029E">
        <w:rPr>
          <w:sz w:val="24"/>
          <w:szCs w:val="24"/>
        </w:rPr>
        <w:t>disabled people</w:t>
      </w:r>
      <w:r w:rsidRPr="000E029E">
        <w:rPr>
          <w:sz w:val="24"/>
          <w:szCs w:val="24"/>
        </w:rPr>
        <w:t>.</w:t>
      </w:r>
    </w:p>
    <w:p w14:paraId="469F1FFB" w14:textId="7A8F0BD8" w:rsidR="00047B5B" w:rsidRPr="000E029E" w:rsidRDefault="00047B5B" w:rsidP="00047B5B">
      <w:pPr>
        <w:pStyle w:val="USBodyText"/>
        <w:rPr>
          <w:sz w:val="24"/>
          <w:szCs w:val="24"/>
        </w:rPr>
      </w:pPr>
      <w:r w:rsidRPr="000E029E">
        <w:rPr>
          <w:sz w:val="24"/>
          <w:szCs w:val="24"/>
        </w:rPr>
        <w:t>The evidence suggests that telework should not be regarded as a sufficient solution to address labour market exclusion for</w:t>
      </w:r>
      <w:r w:rsidR="00AA720A" w:rsidRPr="000E029E">
        <w:rPr>
          <w:sz w:val="24"/>
          <w:szCs w:val="24"/>
        </w:rPr>
        <w:t xml:space="preserve"> disabled people</w:t>
      </w:r>
      <w:r w:rsidRPr="000E029E">
        <w:rPr>
          <w:sz w:val="24"/>
          <w:szCs w:val="24"/>
        </w:rPr>
        <w:t xml:space="preserve">. Without complementary policies to remove systemic barriers and to ensure access to high-quality roles, the introduction of remote work will deliver only marginal improvements in employment outcomes for </w:t>
      </w:r>
      <w:r w:rsidR="00C40904" w:rsidRPr="000E029E">
        <w:rPr>
          <w:sz w:val="24"/>
          <w:szCs w:val="24"/>
        </w:rPr>
        <w:t>disabled people</w:t>
      </w:r>
      <w:r w:rsidRPr="000E029E">
        <w:rPr>
          <w:sz w:val="24"/>
          <w:szCs w:val="24"/>
        </w:rPr>
        <w:t>. Effective policy responses must integrate remote working opportunities into wider strategies that promote disability inclusion across labour market structures, recruitment processes, and social protection systems.</w:t>
      </w:r>
    </w:p>
    <w:p w14:paraId="2F7D6CDF" w14:textId="424372F3" w:rsidR="000F5B2D" w:rsidRDefault="002031AB" w:rsidP="002031AB">
      <w:pPr>
        <w:pStyle w:val="Heading2"/>
      </w:pPr>
      <w:bookmarkStart w:id="18" w:name="_Toc220924667"/>
      <w:r>
        <w:t xml:space="preserve">Education as empowerment for </w:t>
      </w:r>
      <w:r w:rsidR="00C40904">
        <w:t>disabled people</w:t>
      </w:r>
      <w:bookmarkEnd w:id="18"/>
    </w:p>
    <w:p w14:paraId="0BED35EE" w14:textId="46B378B3" w:rsidR="008A0A71" w:rsidRPr="000E029E" w:rsidRDefault="008A0A71" w:rsidP="008A0A71">
      <w:pPr>
        <w:pStyle w:val="USBodyText"/>
        <w:rPr>
          <w:sz w:val="24"/>
          <w:szCs w:val="24"/>
        </w:rPr>
      </w:pPr>
      <w:r w:rsidRPr="000E029E">
        <w:rPr>
          <w:sz w:val="24"/>
          <w:szCs w:val="24"/>
        </w:rPr>
        <w:t>Improving education</w:t>
      </w:r>
      <w:r w:rsidR="00387987" w:rsidRPr="000E029E">
        <w:rPr>
          <w:sz w:val="24"/>
          <w:szCs w:val="24"/>
        </w:rPr>
        <w:t>al</w:t>
      </w:r>
      <w:r w:rsidRPr="000E029E">
        <w:rPr>
          <w:sz w:val="24"/>
          <w:szCs w:val="24"/>
        </w:rPr>
        <w:t xml:space="preserve"> outcomes for disabled people delivers wide-ranging social, economic, and personal benefits. Education plays a pivotal role in supporting employment, financial independence, social inclusion, and overall wellbeing for disabled individuals, while also contributing to broader societal and fiscal gains.</w:t>
      </w:r>
    </w:p>
    <w:p w14:paraId="2FA5C93E" w14:textId="174F5F10" w:rsidR="008A0A71" w:rsidRPr="000E029E" w:rsidRDefault="008A0A71" w:rsidP="008A0A71">
      <w:pPr>
        <w:pStyle w:val="USBodyText"/>
        <w:rPr>
          <w:sz w:val="24"/>
          <w:szCs w:val="24"/>
        </w:rPr>
      </w:pPr>
      <w:r w:rsidRPr="000E029E">
        <w:rPr>
          <w:sz w:val="24"/>
          <w:szCs w:val="24"/>
        </w:rPr>
        <w:t>One of the most significant benefits of better education</w:t>
      </w:r>
      <w:r w:rsidR="007043F4" w:rsidRPr="000E029E">
        <w:rPr>
          <w:sz w:val="24"/>
          <w:szCs w:val="24"/>
        </w:rPr>
        <w:t>al</w:t>
      </w:r>
      <w:r w:rsidRPr="000E029E">
        <w:rPr>
          <w:sz w:val="24"/>
          <w:szCs w:val="24"/>
        </w:rPr>
        <w:t xml:space="preserve"> outcomes is improved access to employment. Research consistently shows that higher educational attainment is associated with higher employment rates for </w:t>
      </w:r>
      <w:r w:rsidR="003D0E3F" w:rsidRPr="000E029E">
        <w:rPr>
          <w:sz w:val="24"/>
          <w:szCs w:val="24"/>
        </w:rPr>
        <w:t>disabled people</w:t>
      </w:r>
      <w:r w:rsidRPr="000E029E">
        <w:rPr>
          <w:sz w:val="24"/>
          <w:szCs w:val="24"/>
        </w:rPr>
        <w:t>. In New Zealand, disabled individuals with tertiary qualifications are more likely to secure jobs than those with lower levels of education. Although disparities remain compared to non-disabled peers, education helps to significantly narrow this employment gap. Higher qualifications also provide access to more skilled, stable, and better-paying jobs, reducing the risk of disabled people being confined to low-wage or precarious employment.</w:t>
      </w:r>
    </w:p>
    <w:p w14:paraId="007DECED" w14:textId="18D07565" w:rsidR="008A0A71" w:rsidRPr="000E029E" w:rsidRDefault="002A724D" w:rsidP="008A0A71">
      <w:pPr>
        <w:pStyle w:val="USBodyText"/>
        <w:rPr>
          <w:sz w:val="24"/>
          <w:szCs w:val="24"/>
        </w:rPr>
      </w:pPr>
      <w:r w:rsidRPr="000E029E">
        <w:rPr>
          <w:sz w:val="24"/>
          <w:szCs w:val="24"/>
        </w:rPr>
        <w:lastRenderedPageBreak/>
        <w:t xml:space="preserve">Public investment in education </w:t>
      </w:r>
      <w:r w:rsidR="00482E1D" w:rsidRPr="000E029E">
        <w:rPr>
          <w:sz w:val="24"/>
          <w:szCs w:val="24"/>
        </w:rPr>
        <w:t>improves</w:t>
      </w:r>
      <w:r w:rsidRPr="000E029E">
        <w:rPr>
          <w:sz w:val="24"/>
          <w:szCs w:val="24"/>
        </w:rPr>
        <w:t xml:space="preserve"> </w:t>
      </w:r>
      <w:r w:rsidR="00F2518D" w:rsidRPr="000E029E">
        <w:rPr>
          <w:sz w:val="24"/>
          <w:szCs w:val="24"/>
        </w:rPr>
        <w:t xml:space="preserve">outcomes for individuals and the wider economy by </w:t>
      </w:r>
      <w:r w:rsidR="00482E1D" w:rsidRPr="000E029E">
        <w:rPr>
          <w:sz w:val="24"/>
          <w:szCs w:val="24"/>
        </w:rPr>
        <w:t>increasing</w:t>
      </w:r>
      <w:r w:rsidR="00F2518D" w:rsidRPr="000E029E">
        <w:rPr>
          <w:sz w:val="24"/>
          <w:szCs w:val="24"/>
        </w:rPr>
        <w:t xml:space="preserve"> labour productivity, which is directly linked to</w:t>
      </w:r>
      <w:r w:rsidR="000B4F7B" w:rsidRPr="000E029E">
        <w:rPr>
          <w:sz w:val="24"/>
          <w:szCs w:val="24"/>
        </w:rPr>
        <w:t xml:space="preserve"> </w:t>
      </w:r>
      <w:r w:rsidR="00482E1D" w:rsidRPr="000E029E">
        <w:rPr>
          <w:sz w:val="24"/>
          <w:szCs w:val="24"/>
        </w:rPr>
        <w:t>earnings</w:t>
      </w:r>
      <w:r w:rsidR="000B4F7B" w:rsidRPr="000E029E">
        <w:rPr>
          <w:sz w:val="24"/>
          <w:szCs w:val="24"/>
        </w:rPr>
        <w:t xml:space="preserve"> and </w:t>
      </w:r>
      <w:r w:rsidR="00482E1D" w:rsidRPr="000E029E">
        <w:rPr>
          <w:sz w:val="24"/>
          <w:szCs w:val="24"/>
        </w:rPr>
        <w:t>macroeconomic</w:t>
      </w:r>
      <w:r w:rsidR="00A67FB7" w:rsidRPr="000E029E">
        <w:rPr>
          <w:sz w:val="24"/>
          <w:szCs w:val="24"/>
        </w:rPr>
        <w:t xml:space="preserve"> performance </w:t>
      </w:r>
      <w:r w:rsidR="00D679E3" w:rsidRPr="000E029E">
        <w:rPr>
          <w:sz w:val="24"/>
          <w:szCs w:val="24"/>
        </w:rPr>
        <w:fldChar w:fldCharType="begin"/>
      </w:r>
      <w:r w:rsidR="00B149C2">
        <w:rPr>
          <w:sz w:val="24"/>
          <w:szCs w:val="24"/>
        </w:rPr>
        <w:instrText xml:space="preserve"> ADDIN ZOTERO_ITEM CSL_CITATION {"citationID":"rhHlE3XA","properties":{"formattedCitation":"(Card 1994; 1999; Becker 1992)","plainCitation":"(Card 1994; 1999; Becker 1992)","noteIndex":0},"citationItems":[{"id":85661,"uris":["http://zotero.org/groups/2546341/items/9DZCMLYW"],"itemData":{"id":85661,"type":"article","abstract":"This paper presents a survey and interpretation of recent research on the return to education. The empirical findings in a series of current papers suggest that the causal effect of education on earnings is understated by standard estimation methods. Using a simple model of optimal schooling developed by Gary Becker (1967), I derive an explicit formula for the conventional estimate of the return to schooling and for alternative instrumental variables and fixed- effects estimators. The analysis suggests that instrumental variables estimates based on 'interventions' that affect the schooling choices of children from relatively disadvantaged family backgrounds will tend to exceed the corresponding OLS estimates.","collection-title":"Working Paper Series","DOI":"10.3386/w4832","genre":"Working Paper","note":"DOI: 10.3386/w4832","number":"4832","publisher":"National Bureau of Economic Research","source":"National Bureau of Economic Research","title":"Earnings, Schooling, and Ability Revisited","URL":"https://www.nber.org/papers/w4832","author":[{"family":"Card","given":"David"}],"accessed":{"date-parts":[["2025",7,28]]},"issued":{"date-parts":[["1994",8]]}},"label":"page"},{"id":85663,"uris":["http://zotero.org/groups/2546341/items/M27DFHQL"],"itemData":{"id":85663,"type":"chapter","abstract":"This paper surveys the recent literature on the causal relationship between education and earnings. I focus on four areas of work: theoretical and econometric advances in modelling the causal effect of education in the presence of heterogeneous returns to schooling; recent studies that use institutional aspects of the education system to form instrumental variables estimates of the return to schooling; recent studies of the earnings and schooling of twins; and recent attempts to explicitly model sources of heterogeneity in the returns to education. Consistent with earlier surveys of the literature, I conclude that the average (or average marginal) return to education is not much below the estimate that emerges from a standard human capital earnings function fit by OLS. Evidence from the latest studies of identical twins suggests a small upward “ability” bias – on the order of 10%. A consistent finding among studies using instrumental variables based on institutional changes in the education system is that the estimated returns to schooling are 20–40% above the corresponding OLS estimates. Part of the explanation for this finding may be that marginal returns to schooling for certain subgroups – particularly relatively disadvantaged groups with low education outcomes – are higher than the average marginal returns to education in the population as a whole. © 1999 Elsevier Science B.V. All rights reserved. JEL codes: I20; J30","container-title":"Handbook of Labor Economics","DOI":"10.1016/S1573-4463(99)03011-4","page":"1801-1863","publisher":"Elsevier","source":"ScienceDirect","title":"Chapter 30 - The Causal Effect of Education on Earnings","URL":"https://www.sciencedirect.com/science/article/pii/S1573446399030114","volume":"3","author":[{"family":"Card","given":"David"}],"editor":[{"family":"Ashenfelter","given":"Orley C."},{"family":"Card","given":"David"}],"accessed":{"date-parts":[["2025",7,28]]},"issued":{"date-parts":[["1999",1,1]]}},"label":"page"},{"id":85660,"uris":["http://zotero.org/groups/2546341/items/QVQXMWIZ"],"itemData":{"id":85660,"type":"article-journal","abstract":"Education and other human capital are important in promoting economic growth and a strong position in international markets. The U.S. needs to upgrade its average labor force quality. This paper presents a number of proposals to accomplish this goal that would not require a lot of public spending but would better prepare the U.S. for a world emphasizing information and skills as well as stiffer competition from other countries.","container-title":"Business Economics","ISSN":"0007-666X","issue":"1","page":"7-12","publisher":"Palgrave Macmillan Journals","source":"JSTOR","title":"Education, Labor Force Quality, and the Economy","volume":"27","author":[{"family":"Becker","given":"Gary S."}],"issued":{"date-parts":[["1992"]]}},"label":"page"}],"schema":"https://github.com/citation-style-language/schema/raw/master/csl-citation.json"} </w:instrText>
      </w:r>
      <w:r w:rsidR="00D679E3" w:rsidRPr="000E029E">
        <w:rPr>
          <w:sz w:val="24"/>
          <w:szCs w:val="24"/>
        </w:rPr>
        <w:fldChar w:fldCharType="separate"/>
      </w:r>
      <w:r w:rsidR="00D679E3" w:rsidRPr="000E029E">
        <w:rPr>
          <w:rFonts w:cs="Calibri"/>
          <w:sz w:val="24"/>
          <w:szCs w:val="24"/>
        </w:rPr>
        <w:t>(Card 1994; 1999; Becker 1992)</w:t>
      </w:r>
      <w:r w:rsidR="00D679E3" w:rsidRPr="000E029E">
        <w:rPr>
          <w:sz w:val="24"/>
          <w:szCs w:val="24"/>
        </w:rPr>
        <w:fldChar w:fldCharType="end"/>
      </w:r>
      <w:r w:rsidR="00D679E3" w:rsidRPr="000E029E">
        <w:rPr>
          <w:sz w:val="24"/>
          <w:szCs w:val="24"/>
        </w:rPr>
        <w:t xml:space="preserve">. </w:t>
      </w:r>
      <w:r w:rsidR="008A0A71" w:rsidRPr="000E029E">
        <w:rPr>
          <w:sz w:val="24"/>
          <w:szCs w:val="24"/>
        </w:rPr>
        <w:t xml:space="preserve">Education </w:t>
      </w:r>
      <w:r w:rsidR="005A3006" w:rsidRPr="000E029E">
        <w:rPr>
          <w:sz w:val="24"/>
          <w:szCs w:val="24"/>
        </w:rPr>
        <w:t>has a direct impact on</w:t>
      </w:r>
      <w:r w:rsidR="008A0A71" w:rsidRPr="000E029E">
        <w:rPr>
          <w:sz w:val="24"/>
          <w:szCs w:val="24"/>
        </w:rPr>
        <w:t xml:space="preserve"> higher lifetime earnings. In New Zealand, disabled graduates tend to earn less than non-disabled graduates, but they still earn considerably more than disabled people with lower or no qualifications. This higher earning potential supports greater financial security and personal independence. Financial stability, in turn, reduces reliance on long-term welfare, which is a priority for government policy. </w:t>
      </w:r>
    </w:p>
    <w:p w14:paraId="13FC0848" w14:textId="760365F0" w:rsidR="008A0A71" w:rsidRPr="000E029E" w:rsidRDefault="008A0A71" w:rsidP="008A0A71">
      <w:pPr>
        <w:pStyle w:val="USBodyText"/>
        <w:rPr>
          <w:sz w:val="24"/>
          <w:szCs w:val="24"/>
        </w:rPr>
      </w:pPr>
      <w:r w:rsidRPr="000E029E">
        <w:rPr>
          <w:sz w:val="24"/>
          <w:szCs w:val="24"/>
        </w:rPr>
        <w:t>The social benefits of better education</w:t>
      </w:r>
      <w:r w:rsidR="005A3006" w:rsidRPr="000E029E">
        <w:rPr>
          <w:sz w:val="24"/>
          <w:szCs w:val="24"/>
        </w:rPr>
        <w:t>al</w:t>
      </w:r>
      <w:r w:rsidRPr="000E029E">
        <w:rPr>
          <w:sz w:val="24"/>
          <w:szCs w:val="24"/>
        </w:rPr>
        <w:t xml:space="preserve"> outcomes are equally important. Inclusive education experiences promote participation, </w:t>
      </w:r>
      <w:r w:rsidR="003F6CC8" w:rsidRPr="000E029E">
        <w:rPr>
          <w:sz w:val="24"/>
          <w:szCs w:val="24"/>
        </w:rPr>
        <w:t>foster the development</w:t>
      </w:r>
      <w:r w:rsidRPr="000E029E">
        <w:rPr>
          <w:sz w:val="24"/>
          <w:szCs w:val="24"/>
        </w:rPr>
        <w:t xml:space="preserve"> of </w:t>
      </w:r>
      <w:r w:rsidR="003F6CC8" w:rsidRPr="000E029E">
        <w:rPr>
          <w:sz w:val="24"/>
          <w:szCs w:val="24"/>
        </w:rPr>
        <w:t xml:space="preserve">diverse </w:t>
      </w:r>
      <w:r w:rsidRPr="000E029E">
        <w:rPr>
          <w:sz w:val="24"/>
          <w:szCs w:val="24"/>
        </w:rPr>
        <w:t xml:space="preserve">social </w:t>
      </w:r>
      <w:r w:rsidR="003F6CC8" w:rsidRPr="000E029E">
        <w:rPr>
          <w:sz w:val="24"/>
          <w:szCs w:val="24"/>
        </w:rPr>
        <w:t xml:space="preserve">networks, </w:t>
      </w:r>
      <w:r w:rsidRPr="000E029E">
        <w:rPr>
          <w:sz w:val="24"/>
          <w:szCs w:val="24"/>
        </w:rPr>
        <w:t xml:space="preserve">and </w:t>
      </w:r>
      <w:r w:rsidR="003F6CC8" w:rsidRPr="000E029E">
        <w:rPr>
          <w:sz w:val="24"/>
          <w:szCs w:val="24"/>
        </w:rPr>
        <w:t>support the growth</w:t>
      </w:r>
      <w:r w:rsidRPr="000E029E">
        <w:rPr>
          <w:sz w:val="24"/>
          <w:szCs w:val="24"/>
        </w:rPr>
        <w:t xml:space="preserve"> of social and professional skills. Disabled learners who are included in mainstream education settings are more likely to pursue further study, access employment, and participate fully in community life. Education also fosters civic engagement, with higher educational attainment linked to greater involvement in social and community activities. For disabled people, this strengthens their sense of belonging and reinforces their role as active citizens.</w:t>
      </w:r>
    </w:p>
    <w:p w14:paraId="2D0826DE" w14:textId="44A62152" w:rsidR="008A0A71" w:rsidRPr="000E029E" w:rsidRDefault="008A0A71" w:rsidP="008A0A71">
      <w:pPr>
        <w:pStyle w:val="USBodyText"/>
        <w:rPr>
          <w:sz w:val="24"/>
          <w:szCs w:val="24"/>
        </w:rPr>
      </w:pPr>
      <w:r w:rsidRPr="000E029E">
        <w:rPr>
          <w:sz w:val="24"/>
          <w:szCs w:val="24"/>
        </w:rPr>
        <w:t>Improved education</w:t>
      </w:r>
      <w:r w:rsidR="007043F4" w:rsidRPr="000E029E">
        <w:rPr>
          <w:sz w:val="24"/>
          <w:szCs w:val="24"/>
        </w:rPr>
        <w:t>al</w:t>
      </w:r>
      <w:r w:rsidRPr="000E029E">
        <w:rPr>
          <w:sz w:val="24"/>
          <w:szCs w:val="24"/>
        </w:rPr>
        <w:t xml:space="preserve"> outcomes also enhance individual wellbeing. Success in education contributes to a stronger sense of agency, self-esteem, and personal achievement. Disabled people who attain higher qualifications are more likely to report satisfaction with their lives and have greater confidence in their ability to control their future. Additionally, higher education is associated with better health literacy and improved long-term health outcomes, contributing to overall quality of life.</w:t>
      </w:r>
      <w:r w:rsidR="00BD6450" w:rsidRPr="000E029E">
        <w:rPr>
          <w:sz w:val="24"/>
          <w:szCs w:val="24"/>
        </w:rPr>
        <w:t xml:space="preserve"> </w:t>
      </w:r>
      <w:r w:rsidR="00102DD7" w:rsidRPr="000E029E">
        <w:rPr>
          <w:sz w:val="24"/>
          <w:szCs w:val="24"/>
        </w:rPr>
        <w:t xml:space="preserve">The </w:t>
      </w:r>
      <w:r w:rsidR="00BD6450" w:rsidRPr="000E029E">
        <w:rPr>
          <w:sz w:val="24"/>
          <w:szCs w:val="24"/>
        </w:rPr>
        <w:t xml:space="preserve">benefits of education, </w:t>
      </w:r>
      <w:r w:rsidR="00EC6E22" w:rsidRPr="000E029E">
        <w:rPr>
          <w:sz w:val="24"/>
          <w:szCs w:val="24"/>
        </w:rPr>
        <w:t xml:space="preserve">including </w:t>
      </w:r>
      <w:r w:rsidR="00BF539A">
        <w:rPr>
          <w:sz w:val="24"/>
          <w:szCs w:val="24"/>
        </w:rPr>
        <w:t>its effects on</w:t>
      </w:r>
      <w:r w:rsidR="00EC6E22" w:rsidRPr="000E029E">
        <w:rPr>
          <w:sz w:val="24"/>
          <w:szCs w:val="24"/>
        </w:rPr>
        <w:t xml:space="preserve"> many non-market outcomes, are greater for individuals with lower ability</w:t>
      </w:r>
      <w:r w:rsidR="00BD6450" w:rsidRPr="000E029E">
        <w:rPr>
          <w:sz w:val="24"/>
          <w:szCs w:val="24"/>
        </w:rPr>
        <w:t xml:space="preserve">. </w:t>
      </w:r>
      <w:r w:rsidR="00EC6E22" w:rsidRPr="000E029E">
        <w:rPr>
          <w:sz w:val="24"/>
          <w:szCs w:val="24"/>
        </w:rPr>
        <w:t>Tertiary</w:t>
      </w:r>
      <w:r w:rsidR="00BD6450" w:rsidRPr="000E029E">
        <w:rPr>
          <w:sz w:val="24"/>
          <w:szCs w:val="24"/>
        </w:rPr>
        <w:t xml:space="preserve"> graduation decreases welfare use, lowers depression, and raises self-esteem more for less-able individuals</w:t>
      </w:r>
      <w:r w:rsidR="00EC6E22" w:rsidRPr="000E029E">
        <w:rPr>
          <w:sz w:val="24"/>
          <w:szCs w:val="24"/>
        </w:rPr>
        <w:t xml:space="preserve"> </w:t>
      </w:r>
      <w:r w:rsidR="00EC6E22" w:rsidRPr="000E029E">
        <w:rPr>
          <w:sz w:val="24"/>
          <w:szCs w:val="24"/>
        </w:rPr>
        <w:fldChar w:fldCharType="begin"/>
      </w:r>
      <w:r w:rsidR="00B149C2">
        <w:rPr>
          <w:sz w:val="24"/>
          <w:szCs w:val="24"/>
        </w:rPr>
        <w:instrText xml:space="preserve"> ADDIN ZOTERO_ITEM CSL_CITATION {"citationID":"pJ55C0ss","properties":{"formattedCitation":"(Heckman et al. 2018)","plainCitation":"(Heckman et al. 2018)","noteIndex":0},"citationItems":[{"id":85659,"uris":["http://zotero.org/groups/2546341/items/38HABH58"],"itemData":{"id":85659,"type":"article-journal","abstract":"This paper analyzes the non-market benefits of education and ability.\nUsing a dynamic model of educational choice we estimate returns to education\nthat account for selection bias and sorting on gains. We investigate a range of\nnon-market outcomes including incarceration, mental health, voter participation,\ntrust, and participation in welfare. We find distinct patterns of returns that\ndepend on the levels of schooling and ability. Unlike the monetary benefits of\neducation, the benefits to education for many non-market outcomes are greater\nfor low-ability persons. College graduation decreases welfare use, lowers\ndepression, and raises self-esteem more for less-able individuals.","container-title":"Journal of human capital","DOI":"10.1086/697535","ISSN":"1932-8575","issue":"2","journalAbbreviation":"J Hum Cap","page":"282-304","PMID":"29963217","PMCID":"PMC6020136","source":"PubMed Central","title":"The Nonmarket Benefits of Education and Ability","volume":"12","author":[{"family":"Heckman","given":"James J."},{"family":"Humphries","given":"John Eric"},{"family":"Veramendi","given":"Gregory"}],"issued":{"date-parts":[["2018"]]}}}],"schema":"https://github.com/citation-style-language/schema/raw/master/csl-citation.json"} </w:instrText>
      </w:r>
      <w:r w:rsidR="00EC6E22" w:rsidRPr="000E029E">
        <w:rPr>
          <w:sz w:val="24"/>
          <w:szCs w:val="24"/>
        </w:rPr>
        <w:fldChar w:fldCharType="separate"/>
      </w:r>
      <w:r w:rsidR="00EC6E22" w:rsidRPr="000E029E">
        <w:rPr>
          <w:rFonts w:cs="Calibri"/>
          <w:sz w:val="24"/>
          <w:szCs w:val="24"/>
        </w:rPr>
        <w:t>(Heckman et al. 2018)</w:t>
      </w:r>
      <w:r w:rsidR="00EC6E22" w:rsidRPr="000E029E">
        <w:rPr>
          <w:sz w:val="24"/>
          <w:szCs w:val="24"/>
        </w:rPr>
        <w:fldChar w:fldCharType="end"/>
      </w:r>
      <w:r w:rsidR="00BD6450" w:rsidRPr="000E029E">
        <w:rPr>
          <w:sz w:val="24"/>
          <w:szCs w:val="24"/>
        </w:rPr>
        <w:t>.</w:t>
      </w:r>
    </w:p>
    <w:p w14:paraId="2EB11612" w14:textId="18FCFAD4" w:rsidR="00E96505" w:rsidRDefault="00A257BF" w:rsidP="003160B8">
      <w:pPr>
        <w:pStyle w:val="USBodyText"/>
      </w:pPr>
      <w:r w:rsidRPr="000E029E">
        <w:rPr>
          <w:sz w:val="24"/>
          <w:szCs w:val="24"/>
        </w:rPr>
        <w:t>I</w:t>
      </w:r>
      <w:r w:rsidR="008A0A71" w:rsidRPr="000E029E">
        <w:rPr>
          <w:sz w:val="24"/>
          <w:szCs w:val="24"/>
        </w:rPr>
        <w:t>mproving education</w:t>
      </w:r>
      <w:r w:rsidR="003F6CC8" w:rsidRPr="000E029E">
        <w:rPr>
          <w:sz w:val="24"/>
          <w:szCs w:val="24"/>
        </w:rPr>
        <w:t>al</w:t>
      </w:r>
      <w:r w:rsidR="008A0A71" w:rsidRPr="000E029E">
        <w:rPr>
          <w:sz w:val="24"/>
          <w:szCs w:val="24"/>
        </w:rPr>
        <w:t xml:space="preserve"> outcomes for disabled people offers significant individual and societal benefits. It leads to better employment opportunities, higher earnings, and reduced welfare dependency, while also promoting social inclusion, greater independence, and improved wellbeing. Closing the education gap for disabled people is not only a matter of fairness</w:t>
      </w:r>
      <w:r w:rsidR="00357269" w:rsidRPr="000E029E">
        <w:rPr>
          <w:sz w:val="24"/>
          <w:szCs w:val="24"/>
        </w:rPr>
        <w:t>. I</w:t>
      </w:r>
      <w:r w:rsidR="008A0A71" w:rsidRPr="000E029E">
        <w:rPr>
          <w:sz w:val="24"/>
          <w:szCs w:val="24"/>
        </w:rPr>
        <w:t>t is an essential step towards creating a more inclusive, productive, and equitable society.</w:t>
      </w:r>
      <w:r w:rsidR="00E96505">
        <w:br w:type="page"/>
      </w:r>
    </w:p>
    <w:p w14:paraId="0B530DDB" w14:textId="6A19721B" w:rsidR="004F0DAA" w:rsidRDefault="003F1A91" w:rsidP="000460C4">
      <w:pPr>
        <w:pStyle w:val="Heading1"/>
      </w:pPr>
      <w:bookmarkStart w:id="19" w:name="_Toc220924668"/>
      <w:r>
        <w:lastRenderedPageBreak/>
        <w:t>Our modelling approach</w:t>
      </w:r>
      <w:bookmarkEnd w:id="19"/>
    </w:p>
    <w:p w14:paraId="500C2BC5" w14:textId="0D8410CE" w:rsidR="000460C4" w:rsidRPr="00C13543" w:rsidRDefault="000460C4" w:rsidP="000460C4">
      <w:pPr>
        <w:pStyle w:val="Heading2"/>
      </w:pPr>
      <w:bookmarkStart w:id="20" w:name="_Toc197085063"/>
      <w:bookmarkStart w:id="21" w:name="_Toc220924669"/>
      <w:r w:rsidRPr="00C13543">
        <w:t xml:space="preserve">NZIER’s </w:t>
      </w:r>
      <w:r w:rsidR="00312552">
        <w:t>computable general equilibrium</w:t>
      </w:r>
      <w:r w:rsidR="00312552" w:rsidRPr="00C13543" w:rsidDel="00312552">
        <w:t xml:space="preserve"> </w:t>
      </w:r>
      <w:r w:rsidRPr="00C13543">
        <w:t>model</w:t>
      </w:r>
      <w:bookmarkEnd w:id="20"/>
      <w:bookmarkEnd w:id="21"/>
    </w:p>
    <w:p w14:paraId="7DF810D6" w14:textId="2692B654" w:rsidR="000460C4" w:rsidRPr="000E029E" w:rsidRDefault="00312552" w:rsidP="000460C4">
      <w:pPr>
        <w:pStyle w:val="USBodyText"/>
        <w:rPr>
          <w:rFonts w:ascii="Segoe UI" w:hAnsi="Segoe UI" w:cs="Segoe UI"/>
          <w:sz w:val="24"/>
          <w:szCs w:val="24"/>
        </w:rPr>
      </w:pPr>
      <w:r w:rsidRPr="000E029E">
        <w:rPr>
          <w:sz w:val="24"/>
          <w:szCs w:val="24"/>
        </w:rPr>
        <w:t>Computable general equilibrium (CGE)</w:t>
      </w:r>
      <w:r w:rsidR="000460C4" w:rsidRPr="000E029E">
        <w:rPr>
          <w:sz w:val="24"/>
          <w:szCs w:val="24"/>
        </w:rPr>
        <w:t xml:space="preserve"> models are data-driven and used to capture the effects of </w:t>
      </w:r>
      <w:r w:rsidRPr="000E029E">
        <w:rPr>
          <w:sz w:val="24"/>
          <w:szCs w:val="24"/>
        </w:rPr>
        <w:t>new policies, technologies, or other external shocks on</w:t>
      </w:r>
      <w:r w:rsidR="000460C4" w:rsidRPr="000E029E">
        <w:rPr>
          <w:sz w:val="24"/>
          <w:szCs w:val="24"/>
        </w:rPr>
        <w:t xml:space="preserve"> economic activity. They capture the economy-wide effects of changes (‘shocks’ in modelling jargon) directly on the affected industry and indirectly on supplying industries, competing industries, and factor markets (labour and capital). CGE models show the full effect of a change, which includes impacts from indirect effects that aren’t immediately obvious. The cumulative impact of indirect effects can outweigh the direct effect of a change. </w:t>
      </w:r>
    </w:p>
    <w:p w14:paraId="30AACDA4" w14:textId="5754740B" w:rsidR="000460C4" w:rsidRPr="000E029E" w:rsidRDefault="000460C4" w:rsidP="000460C4">
      <w:pPr>
        <w:pStyle w:val="USBodyText"/>
        <w:rPr>
          <w:rFonts w:ascii="Segoe UI" w:hAnsi="Segoe UI" w:cs="Segoe UI"/>
          <w:sz w:val="24"/>
          <w:szCs w:val="24"/>
        </w:rPr>
      </w:pPr>
      <w:r w:rsidRPr="000E029E">
        <w:rPr>
          <w:sz w:val="24"/>
          <w:szCs w:val="24"/>
        </w:rPr>
        <w:t>CGE models also estimate the effect of a shock on macroeconomic variables such as GDP, employment, wages and trade. They are a powerful tool, allowing economists to e</w:t>
      </w:r>
      <w:r w:rsidR="00795838">
        <w:rPr>
          <w:sz w:val="24"/>
          <w:szCs w:val="24"/>
        </w:rPr>
        <w:t>mpirically explore many issues for</w:t>
      </w:r>
      <w:r w:rsidRPr="000E029E">
        <w:rPr>
          <w:sz w:val="24"/>
          <w:szCs w:val="24"/>
        </w:rPr>
        <w:t xml:space="preserve"> which econometrics or multiplier analysis would be unusable. For these reasons, CGE models have become widely used internationally (e.g. by OECD, IMF, World Bank) for economic impact analysis. </w:t>
      </w:r>
    </w:p>
    <w:p w14:paraId="239FD5A3" w14:textId="77777777" w:rsidR="000460C4" w:rsidRPr="00C13543" w:rsidRDefault="000460C4" w:rsidP="000460C4">
      <w:pPr>
        <w:pStyle w:val="Heading2"/>
      </w:pPr>
      <w:bookmarkStart w:id="22" w:name="_Toc179362083"/>
      <w:bookmarkStart w:id="23" w:name="_Toc197085064"/>
      <w:bookmarkStart w:id="24" w:name="_Toc220924670"/>
      <w:r w:rsidRPr="00C13543">
        <w:t>How do they work?</w:t>
      </w:r>
      <w:bookmarkEnd w:id="22"/>
      <w:bookmarkEnd w:id="23"/>
      <w:bookmarkEnd w:id="24"/>
    </w:p>
    <w:p w14:paraId="45D38583" w14:textId="648C9379" w:rsidR="000460C4" w:rsidRPr="000E029E" w:rsidRDefault="000460C4" w:rsidP="000460C4">
      <w:pPr>
        <w:pStyle w:val="USBodyText"/>
        <w:rPr>
          <w:sz w:val="24"/>
          <w:szCs w:val="24"/>
        </w:rPr>
      </w:pPr>
      <w:r w:rsidRPr="000E029E">
        <w:rPr>
          <w:sz w:val="24"/>
          <w:szCs w:val="24"/>
        </w:rPr>
        <w:t xml:space="preserve">A CGE model consists of equations </w:t>
      </w:r>
      <w:r w:rsidR="00277933">
        <w:rPr>
          <w:sz w:val="24"/>
          <w:szCs w:val="24"/>
        </w:rPr>
        <w:t>that describe the model's</w:t>
      </w:r>
      <w:r w:rsidRPr="000E029E">
        <w:rPr>
          <w:sz w:val="24"/>
          <w:szCs w:val="24"/>
        </w:rPr>
        <w:t xml:space="preserve"> variables. It also uses detailed data on the structure of the economy that is consistent with these model equations. This data provides a snapshot of the economy in a particular year, which is used as a </w:t>
      </w:r>
      <w:r w:rsidR="00277933">
        <w:rPr>
          <w:sz w:val="24"/>
          <w:szCs w:val="24"/>
        </w:rPr>
        <w:t>baseline (or business-as-</w:t>
      </w:r>
      <w:r w:rsidRPr="000E029E">
        <w:rPr>
          <w:sz w:val="24"/>
          <w:szCs w:val="24"/>
        </w:rPr>
        <w:t>usual (BAU)) against which to compare policy simulations or economic changes. </w:t>
      </w:r>
      <w:r w:rsidR="00A56078">
        <w:rPr>
          <w:sz w:val="24"/>
          <w:szCs w:val="24"/>
        </w:rPr>
        <w:t xml:space="preserve">These baselines </w:t>
      </w:r>
      <w:r w:rsidR="00070EA1">
        <w:rPr>
          <w:sz w:val="24"/>
          <w:szCs w:val="24"/>
        </w:rPr>
        <w:t xml:space="preserve">are updated </w:t>
      </w:r>
      <w:r w:rsidR="00F11C7E">
        <w:rPr>
          <w:sz w:val="24"/>
          <w:szCs w:val="24"/>
        </w:rPr>
        <w:t>every few years</w:t>
      </w:r>
      <w:r w:rsidR="00070EA1">
        <w:rPr>
          <w:sz w:val="24"/>
          <w:szCs w:val="24"/>
        </w:rPr>
        <w:t xml:space="preserve"> when official statistics allow</w:t>
      </w:r>
      <w:r w:rsidR="00934E40">
        <w:rPr>
          <w:sz w:val="24"/>
          <w:szCs w:val="24"/>
        </w:rPr>
        <w:t>. In this case</w:t>
      </w:r>
      <w:r w:rsidR="007B44C5">
        <w:rPr>
          <w:sz w:val="24"/>
          <w:szCs w:val="24"/>
        </w:rPr>
        <w:t>,</w:t>
      </w:r>
      <w:r w:rsidR="00934E40">
        <w:rPr>
          <w:sz w:val="24"/>
          <w:szCs w:val="24"/>
        </w:rPr>
        <w:t xml:space="preserve"> the most recent</w:t>
      </w:r>
      <w:r w:rsidR="00C67180">
        <w:rPr>
          <w:sz w:val="24"/>
          <w:szCs w:val="24"/>
        </w:rPr>
        <w:t xml:space="preserve"> official</w:t>
      </w:r>
      <w:r w:rsidR="00934E40">
        <w:rPr>
          <w:sz w:val="24"/>
          <w:szCs w:val="24"/>
        </w:rPr>
        <w:t xml:space="preserve"> update is for 2020</w:t>
      </w:r>
      <w:r w:rsidR="00CC1FB8">
        <w:rPr>
          <w:sz w:val="24"/>
          <w:szCs w:val="24"/>
        </w:rPr>
        <w:t xml:space="preserve">. </w:t>
      </w:r>
      <w:r w:rsidR="007B44C5">
        <w:rPr>
          <w:sz w:val="24"/>
          <w:szCs w:val="24"/>
        </w:rPr>
        <w:t>An</w:t>
      </w:r>
      <w:r w:rsidR="00CC1FB8">
        <w:rPr>
          <w:sz w:val="24"/>
          <w:szCs w:val="24"/>
        </w:rPr>
        <w:t xml:space="preserve"> update is expected sometime in 2</w:t>
      </w:r>
      <w:r w:rsidR="00C67180">
        <w:rPr>
          <w:sz w:val="24"/>
          <w:szCs w:val="24"/>
        </w:rPr>
        <w:t>026.</w:t>
      </w:r>
    </w:p>
    <w:p w14:paraId="7FBB2644" w14:textId="6DC68FC2" w:rsidR="000460C4" w:rsidRPr="000E029E" w:rsidRDefault="000460C4" w:rsidP="000460C4">
      <w:pPr>
        <w:pStyle w:val="USBodyText"/>
        <w:rPr>
          <w:rFonts w:ascii="Segoe UI" w:hAnsi="Segoe UI" w:cs="Segoe UI"/>
          <w:sz w:val="24"/>
          <w:szCs w:val="24"/>
        </w:rPr>
      </w:pPr>
      <w:r w:rsidRPr="000E029E">
        <w:rPr>
          <w:sz w:val="24"/>
          <w:szCs w:val="24"/>
        </w:rPr>
        <w:t xml:space="preserve">The model data </w:t>
      </w:r>
      <w:r w:rsidR="00601F8C">
        <w:rPr>
          <w:sz w:val="24"/>
          <w:szCs w:val="24"/>
        </w:rPr>
        <w:t>are linked through a set of equations that</w:t>
      </w:r>
      <w:r w:rsidRPr="000E029E">
        <w:rPr>
          <w:sz w:val="24"/>
          <w:szCs w:val="24"/>
        </w:rPr>
        <w:t xml:space="preserve"> capture how the economy evolves over time in response to a shock. These equations, </w:t>
      </w:r>
      <w:r w:rsidR="00601F8C">
        <w:rPr>
          <w:sz w:val="24"/>
          <w:szCs w:val="24"/>
        </w:rPr>
        <w:t>based on the economic theory of general equilibrium, ensure that supply and demand for goods, services, and factors of production in the economy are balanced and determine how firms and households respond</w:t>
      </w:r>
      <w:r w:rsidRPr="000E029E">
        <w:rPr>
          <w:sz w:val="24"/>
          <w:szCs w:val="24"/>
        </w:rPr>
        <w:t xml:space="preserve"> to changes in incentives.  </w:t>
      </w:r>
    </w:p>
    <w:p w14:paraId="49B80666" w14:textId="77777777" w:rsidR="000460C4" w:rsidRPr="000E029E" w:rsidRDefault="000460C4" w:rsidP="000460C4">
      <w:pPr>
        <w:pStyle w:val="USBodyText"/>
        <w:rPr>
          <w:rFonts w:ascii="Segoe UI" w:hAnsi="Segoe UI" w:cs="Segoe UI"/>
          <w:sz w:val="24"/>
          <w:szCs w:val="24"/>
        </w:rPr>
      </w:pPr>
      <w:r w:rsidRPr="000E029E">
        <w:rPr>
          <w:sz w:val="24"/>
          <w:szCs w:val="24"/>
        </w:rPr>
        <w:t>In any CGE model, we must choose what is to be determined within the model (the endogenous variables) and what is to be considered external to the model (the exogenous variables). A CGE model is just a way of explaining the endogenous variables in terms of the exogenous variables.  </w:t>
      </w:r>
    </w:p>
    <w:p w14:paraId="33DA4F19" w14:textId="7585F2CB" w:rsidR="000460C4" w:rsidRPr="000E029E" w:rsidRDefault="000460C4" w:rsidP="000460C4">
      <w:pPr>
        <w:pStyle w:val="USBodyText"/>
        <w:rPr>
          <w:sz w:val="24"/>
          <w:szCs w:val="24"/>
        </w:rPr>
      </w:pPr>
      <w:r w:rsidRPr="000E029E">
        <w:rPr>
          <w:sz w:val="24"/>
          <w:szCs w:val="24"/>
        </w:rPr>
        <w:t xml:space="preserve">Where we draw the line between endogenous and exogenous variables and which ones can vary or have to remain fixed depends on a number of factors, including the purpose for which the model simulations are to be used. The choice that we make is called the model closure. Determining the closure is a key part of any modelling exercise, and it is very important that the modeller be transparent about </w:t>
      </w:r>
      <w:r w:rsidR="002911DD">
        <w:rPr>
          <w:sz w:val="24"/>
          <w:szCs w:val="24"/>
        </w:rPr>
        <w:t>the modelling result and the assumptions imposed</w:t>
      </w:r>
      <w:r w:rsidRPr="000E029E">
        <w:rPr>
          <w:sz w:val="24"/>
          <w:szCs w:val="24"/>
        </w:rPr>
        <w:t xml:space="preserve"> via the closure.  </w:t>
      </w:r>
    </w:p>
    <w:p w14:paraId="591935F7" w14:textId="23C51BFE" w:rsidR="000460C4" w:rsidRPr="000E029E" w:rsidRDefault="000460C4" w:rsidP="000460C4">
      <w:pPr>
        <w:pStyle w:val="USBodyText"/>
        <w:rPr>
          <w:sz w:val="24"/>
          <w:szCs w:val="24"/>
        </w:rPr>
      </w:pPr>
      <w:r w:rsidRPr="000E029E">
        <w:rPr>
          <w:sz w:val="24"/>
          <w:szCs w:val="24"/>
        </w:rPr>
        <w:t xml:space="preserve">The difference between the initial and the new equilibrium can then be analysed to determine the effect of the shock on a range of economic indicators, such as GDP, </w:t>
      </w:r>
      <w:r w:rsidRPr="000E029E">
        <w:rPr>
          <w:sz w:val="24"/>
          <w:szCs w:val="24"/>
        </w:rPr>
        <w:lastRenderedPageBreak/>
        <w:t xml:space="preserve">employment, wages and living standards. </w:t>
      </w:r>
      <w:r w:rsidRPr="000E029E">
        <w:rPr>
          <w:sz w:val="24"/>
          <w:szCs w:val="24"/>
        </w:rPr>
        <w:fldChar w:fldCharType="begin"/>
      </w:r>
      <w:r w:rsidRPr="000E029E">
        <w:rPr>
          <w:sz w:val="24"/>
          <w:szCs w:val="24"/>
        </w:rPr>
        <w:instrText xml:space="preserve"> REF _Ref179360540 \h </w:instrText>
      </w:r>
      <w:r w:rsidR="0030729A">
        <w:rPr>
          <w:sz w:val="24"/>
          <w:szCs w:val="24"/>
        </w:rPr>
        <w:instrText xml:space="preserve"> \* MERGEFORMAT </w:instrText>
      </w:r>
      <w:r w:rsidRPr="000E029E">
        <w:rPr>
          <w:sz w:val="24"/>
          <w:szCs w:val="24"/>
        </w:rPr>
      </w:r>
      <w:r w:rsidRPr="000E029E">
        <w:rPr>
          <w:sz w:val="24"/>
          <w:szCs w:val="24"/>
        </w:rPr>
        <w:fldChar w:fldCharType="separate"/>
      </w:r>
      <w:r w:rsidR="006E35CE" w:rsidRPr="001061FE">
        <w:rPr>
          <w:sz w:val="24"/>
          <w:szCs w:val="24"/>
        </w:rPr>
        <w:t xml:space="preserve">Figure </w:t>
      </w:r>
      <w:r w:rsidR="006E35CE" w:rsidRPr="001061FE">
        <w:rPr>
          <w:noProof/>
          <w:sz w:val="24"/>
          <w:szCs w:val="24"/>
        </w:rPr>
        <w:t>4</w:t>
      </w:r>
      <w:r w:rsidRPr="000E029E">
        <w:rPr>
          <w:sz w:val="24"/>
          <w:szCs w:val="24"/>
        </w:rPr>
        <w:fldChar w:fldCharType="end"/>
      </w:r>
      <w:r w:rsidRPr="000E029E">
        <w:rPr>
          <w:sz w:val="24"/>
          <w:szCs w:val="24"/>
        </w:rPr>
        <w:t xml:space="preserve"> provides a stylistic representation of the relationships between different parts of the model.</w:t>
      </w:r>
    </w:p>
    <w:p w14:paraId="3738344D" w14:textId="550F8A32" w:rsidR="000460C4" w:rsidRPr="00C13543" w:rsidRDefault="000460C4" w:rsidP="000460C4">
      <w:pPr>
        <w:pStyle w:val="Caption"/>
      </w:pPr>
      <w:bookmarkStart w:id="25" w:name="_Ref179360540"/>
      <w:bookmarkStart w:id="26" w:name="_Toc179361572"/>
      <w:bookmarkStart w:id="27" w:name="_Toc197085083"/>
      <w:bookmarkStart w:id="28" w:name="_Toc202195951"/>
      <w:bookmarkStart w:id="29" w:name="_Toc220924803"/>
      <w:r w:rsidRPr="00C13543">
        <w:t xml:space="preserve">Figure </w:t>
      </w:r>
      <w:r w:rsidR="00781620">
        <w:fldChar w:fldCharType="begin"/>
      </w:r>
      <w:r w:rsidR="00781620">
        <w:instrText xml:space="preserve"> SEQ Figure \* ARABIC </w:instrText>
      </w:r>
      <w:r w:rsidR="00781620">
        <w:fldChar w:fldCharType="separate"/>
      </w:r>
      <w:r w:rsidR="006E35CE">
        <w:rPr>
          <w:noProof/>
        </w:rPr>
        <w:t>4</w:t>
      </w:r>
      <w:r w:rsidR="00781620">
        <w:rPr>
          <w:noProof/>
        </w:rPr>
        <w:fldChar w:fldCharType="end"/>
      </w:r>
      <w:bookmarkEnd w:id="25"/>
      <w:r w:rsidRPr="00C13543">
        <w:t xml:space="preserve"> Our CGE model represents the circular flows in the economy</w:t>
      </w:r>
      <w:bookmarkEnd w:id="26"/>
      <w:bookmarkEnd w:id="27"/>
      <w:bookmarkEnd w:id="28"/>
      <w:bookmarkEnd w:id="29"/>
    </w:p>
    <w:p w14:paraId="023B3336" w14:textId="417B54E5" w:rsidR="000460C4" w:rsidRPr="00C13543" w:rsidRDefault="000460C4" w:rsidP="000460C4">
      <w:pPr>
        <w:pStyle w:val="USSource"/>
      </w:pPr>
      <w:r w:rsidRPr="00C13543">
        <w:rPr>
          <w:noProof/>
        </w:rPr>
        <w:drawing>
          <wp:inline distT="0" distB="0" distL="0" distR="0" wp14:anchorId="1C5AF357" wp14:editId="78A2B99B">
            <wp:extent cx="5223631" cy="3295650"/>
            <wp:effectExtent l="0" t="0" r="0" b="0"/>
            <wp:docPr id="1689676301" name="Picture 6" descr="A diagram of the relationships between different parts of the economy including business, households, government, financial markets and international tr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676301" name="Picture 6" descr="A diagram of the relationships between different parts of the economy including business, households, government, financial markets and international trad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25078" cy="3296563"/>
                    </a:xfrm>
                    <a:prstGeom prst="rect">
                      <a:avLst/>
                    </a:prstGeom>
                    <a:noFill/>
                    <a:ln>
                      <a:noFill/>
                    </a:ln>
                  </pic:spPr>
                </pic:pic>
              </a:graphicData>
            </a:graphic>
          </wp:inline>
        </w:drawing>
      </w:r>
      <w:r w:rsidRPr="00C13543">
        <w:br/>
        <w:t>Source: NZIER</w:t>
      </w:r>
    </w:p>
    <w:p w14:paraId="08F0BF43" w14:textId="77777777" w:rsidR="000460C4" w:rsidRPr="00C13543" w:rsidRDefault="000460C4" w:rsidP="000460C4">
      <w:pPr>
        <w:pStyle w:val="Heading2"/>
      </w:pPr>
      <w:bookmarkStart w:id="30" w:name="_Toc179362096"/>
      <w:bookmarkStart w:id="31" w:name="_Toc197085065"/>
      <w:bookmarkStart w:id="32" w:name="_Toc220924671"/>
      <w:r w:rsidRPr="00C13543">
        <w:t>How do we shock the model?</w:t>
      </w:r>
      <w:bookmarkEnd w:id="30"/>
      <w:bookmarkEnd w:id="31"/>
      <w:bookmarkEnd w:id="32"/>
    </w:p>
    <w:p w14:paraId="65F17F43" w14:textId="77777777" w:rsidR="000460C4" w:rsidRPr="000E029E" w:rsidRDefault="000460C4" w:rsidP="000460C4">
      <w:pPr>
        <w:pStyle w:val="USBodyText"/>
        <w:rPr>
          <w:sz w:val="24"/>
          <w:szCs w:val="24"/>
        </w:rPr>
      </w:pPr>
      <w:r w:rsidRPr="000E029E">
        <w:rPr>
          <w:sz w:val="24"/>
          <w:szCs w:val="24"/>
        </w:rPr>
        <w:t xml:space="preserve">To reach the different scenario outcomes, we must ‘shock’ the model to generate changes in national and regional economies. When we shock the model, we select specific input parameters and change their values. The change in some input parameter values produces further changes throughout the economy. </w:t>
      </w:r>
    </w:p>
    <w:p w14:paraId="1349BD56" w14:textId="39492776" w:rsidR="000460C4" w:rsidRPr="000E029E" w:rsidRDefault="000460C4" w:rsidP="000460C4">
      <w:pPr>
        <w:pStyle w:val="USBodyText"/>
        <w:rPr>
          <w:sz w:val="24"/>
          <w:szCs w:val="24"/>
        </w:rPr>
      </w:pPr>
      <w:r w:rsidRPr="000E029E">
        <w:rPr>
          <w:sz w:val="24"/>
          <w:szCs w:val="24"/>
        </w:rPr>
        <w:t xml:space="preserve">Resources are reallocated to reflect changing conditions. These changes result in increases or decreases in the industries in the model, leading to increases or decreases in commodities produced. There are flow-on effects to markets and supply chains. The model tries to find a mathematical solution that shows how the economy would resettle into a steady state </w:t>
      </w:r>
      <w:r w:rsidR="007A6D77" w:rsidRPr="000E029E">
        <w:rPr>
          <w:sz w:val="24"/>
          <w:szCs w:val="24"/>
        </w:rPr>
        <w:t>given the new input parameter value</w:t>
      </w:r>
      <w:r w:rsidRPr="000E029E">
        <w:rPr>
          <w:sz w:val="24"/>
          <w:szCs w:val="24"/>
        </w:rPr>
        <w:t xml:space="preserve">. </w:t>
      </w:r>
    </w:p>
    <w:p w14:paraId="0EF14DBC" w14:textId="77777777" w:rsidR="000460C4" w:rsidRPr="000E029E" w:rsidRDefault="000460C4" w:rsidP="000460C4">
      <w:pPr>
        <w:pStyle w:val="USBodyText"/>
        <w:rPr>
          <w:sz w:val="24"/>
          <w:szCs w:val="24"/>
        </w:rPr>
      </w:pPr>
      <w:r w:rsidRPr="000E029E">
        <w:rPr>
          <w:sz w:val="24"/>
          <w:szCs w:val="24"/>
        </w:rPr>
        <w:t>We can then examine the changes by industry and region or at the national level. We can also compare changes across scenarios to look for differences in how the economy reacts to various shocks.</w:t>
      </w:r>
    </w:p>
    <w:p w14:paraId="615DB97C" w14:textId="44ED70D3" w:rsidR="00E21830" w:rsidRPr="000E029E" w:rsidRDefault="00E21830" w:rsidP="000460C4">
      <w:pPr>
        <w:pStyle w:val="USBodyText"/>
        <w:rPr>
          <w:sz w:val="24"/>
          <w:szCs w:val="24"/>
        </w:rPr>
      </w:pPr>
      <w:r w:rsidRPr="000E029E">
        <w:rPr>
          <w:sz w:val="24"/>
          <w:szCs w:val="24"/>
        </w:rPr>
        <w:t xml:space="preserve">For the purposes of this </w:t>
      </w:r>
      <w:r w:rsidR="00282711" w:rsidRPr="000E029E">
        <w:rPr>
          <w:sz w:val="24"/>
          <w:szCs w:val="24"/>
        </w:rPr>
        <w:t>modelling exercise, we did no</w:t>
      </w:r>
      <w:r w:rsidR="00D67443" w:rsidRPr="000E029E">
        <w:rPr>
          <w:sz w:val="24"/>
          <w:szCs w:val="24"/>
        </w:rPr>
        <w:t xml:space="preserve">t produce a regional breakdown. We also made no assumptions about </w:t>
      </w:r>
      <w:r w:rsidR="009F2E0A" w:rsidRPr="000E029E">
        <w:rPr>
          <w:sz w:val="24"/>
          <w:szCs w:val="24"/>
        </w:rPr>
        <w:t xml:space="preserve">the distribution of disabled people </w:t>
      </w:r>
      <w:r w:rsidR="00D37D2B" w:rsidRPr="000E029E">
        <w:rPr>
          <w:sz w:val="24"/>
          <w:szCs w:val="24"/>
        </w:rPr>
        <w:t>who</w:t>
      </w:r>
      <w:r w:rsidR="009F2E0A" w:rsidRPr="000E029E">
        <w:rPr>
          <w:sz w:val="24"/>
          <w:szCs w:val="24"/>
        </w:rPr>
        <w:t xml:space="preserve"> would be entering the </w:t>
      </w:r>
      <w:r w:rsidR="00D37D2B" w:rsidRPr="000E029E">
        <w:rPr>
          <w:sz w:val="24"/>
          <w:szCs w:val="24"/>
        </w:rPr>
        <w:t>labour force</w:t>
      </w:r>
      <w:r w:rsidR="009F2E0A" w:rsidRPr="000E029E">
        <w:rPr>
          <w:sz w:val="24"/>
          <w:szCs w:val="24"/>
        </w:rPr>
        <w:t>.</w:t>
      </w:r>
    </w:p>
    <w:p w14:paraId="5A3FCF55" w14:textId="00AF67EF" w:rsidR="000460C4" w:rsidRPr="00C13543" w:rsidRDefault="000460C4" w:rsidP="000460C4">
      <w:pPr>
        <w:pStyle w:val="Heading2"/>
      </w:pPr>
      <w:bookmarkStart w:id="33" w:name="_Toc220924672"/>
      <w:r w:rsidRPr="00C13543">
        <w:t>What are our closure conditions</w:t>
      </w:r>
      <w:r w:rsidR="00BF3993">
        <w:t>?</w:t>
      </w:r>
      <w:bookmarkEnd w:id="33"/>
    </w:p>
    <w:p w14:paraId="5D01C5E5" w14:textId="77777777" w:rsidR="000460C4" w:rsidRPr="002C1078" w:rsidRDefault="000460C4" w:rsidP="000460C4">
      <w:pPr>
        <w:pStyle w:val="USBodyText"/>
        <w:rPr>
          <w:sz w:val="24"/>
          <w:szCs w:val="24"/>
        </w:rPr>
      </w:pPr>
      <w:r w:rsidRPr="002C1078">
        <w:rPr>
          <w:sz w:val="24"/>
          <w:szCs w:val="24"/>
        </w:rPr>
        <w:t xml:space="preserve">CGE models require researchers to make a few assumptions about how the economy operates. Essentially, there are too many moving parts for the amount of </w:t>
      </w:r>
      <w:r w:rsidRPr="002C1078">
        <w:rPr>
          <w:sz w:val="24"/>
          <w:szCs w:val="24"/>
        </w:rPr>
        <w:lastRenderedPageBreak/>
        <w:t xml:space="preserve">economic data we have, so we have to nail down a few of those parts to allow the model to find a solution. These assumptions are called </w:t>
      </w:r>
      <w:r w:rsidRPr="002C1078">
        <w:rPr>
          <w:i/>
          <w:iCs/>
          <w:sz w:val="24"/>
          <w:szCs w:val="24"/>
        </w:rPr>
        <w:t>closure conditions</w:t>
      </w:r>
      <w:r w:rsidRPr="002C1078">
        <w:rPr>
          <w:sz w:val="24"/>
          <w:szCs w:val="24"/>
        </w:rPr>
        <w:t>. They typically concern labour markets, capital markets, government behaviour, and foreign exchange. </w:t>
      </w:r>
    </w:p>
    <w:p w14:paraId="2811D01D" w14:textId="5BCF9EA9" w:rsidR="000460C4" w:rsidRPr="000E029E" w:rsidRDefault="000460C4" w:rsidP="000460C4">
      <w:pPr>
        <w:pStyle w:val="USBodyText"/>
        <w:rPr>
          <w:sz w:val="24"/>
          <w:szCs w:val="24"/>
        </w:rPr>
      </w:pPr>
      <w:r w:rsidRPr="000E029E">
        <w:rPr>
          <w:sz w:val="24"/>
          <w:szCs w:val="24"/>
        </w:rPr>
        <w:t>Determining the closure is a key part of any modelling exercise</w:t>
      </w:r>
      <w:r w:rsidR="00BF3993" w:rsidRPr="000E029E">
        <w:rPr>
          <w:sz w:val="24"/>
          <w:szCs w:val="24"/>
        </w:rPr>
        <w:t>,</w:t>
      </w:r>
      <w:r w:rsidRPr="000E029E">
        <w:rPr>
          <w:sz w:val="24"/>
          <w:szCs w:val="24"/>
        </w:rPr>
        <w:t xml:space="preserve"> and it is very important that the modeller be transparent about what is a result of the modelling and what has been imposed by assumption via the closure.</w:t>
      </w:r>
      <w:r w:rsidR="00707299" w:rsidRPr="000E029E">
        <w:rPr>
          <w:sz w:val="24"/>
          <w:szCs w:val="24"/>
        </w:rPr>
        <w:t xml:space="preserve"> </w:t>
      </w:r>
      <w:r w:rsidRPr="000E029E">
        <w:rPr>
          <w:sz w:val="24"/>
          <w:szCs w:val="24"/>
        </w:rPr>
        <w:t xml:space="preserve">We investigated several sets of closure conditions to select one </w:t>
      </w:r>
      <w:r w:rsidR="00E73F4C">
        <w:rPr>
          <w:sz w:val="24"/>
          <w:szCs w:val="24"/>
        </w:rPr>
        <w:t>that led the model to behave in a way that reflected medium-term adjustments in the economy: sufficient</w:t>
      </w:r>
      <w:r w:rsidRPr="000E029E">
        <w:rPr>
          <w:sz w:val="24"/>
          <w:szCs w:val="24"/>
        </w:rPr>
        <w:t xml:space="preserve"> flexibility to represent the choices and changes that businesses and consumers might make, but with some constraints on their options.  </w:t>
      </w:r>
    </w:p>
    <w:p w14:paraId="4E69ADEB" w14:textId="740570AB" w:rsidR="000460C4" w:rsidRPr="000E029E" w:rsidRDefault="000460C4" w:rsidP="000460C4">
      <w:pPr>
        <w:pStyle w:val="USBodyText"/>
        <w:rPr>
          <w:sz w:val="24"/>
          <w:szCs w:val="24"/>
        </w:rPr>
      </w:pPr>
      <w:r w:rsidRPr="000E029E">
        <w:rPr>
          <w:sz w:val="24"/>
          <w:szCs w:val="24"/>
        </w:rPr>
        <w:t>The closure conditions used for this modelling are that: </w:t>
      </w:r>
    </w:p>
    <w:p w14:paraId="4741F1DA" w14:textId="0FC038F3" w:rsidR="000460C4" w:rsidRPr="000E029E" w:rsidRDefault="000460C4" w:rsidP="000460C4">
      <w:pPr>
        <w:pStyle w:val="USBullet1"/>
        <w:rPr>
          <w:sz w:val="24"/>
          <w:szCs w:val="24"/>
        </w:rPr>
      </w:pPr>
      <w:r w:rsidRPr="000E029E">
        <w:rPr>
          <w:sz w:val="24"/>
          <w:szCs w:val="24"/>
        </w:rPr>
        <w:t>Aggregate employment is fixed</w:t>
      </w:r>
      <w:r w:rsidR="00BF3993" w:rsidRPr="000E029E">
        <w:rPr>
          <w:sz w:val="24"/>
          <w:szCs w:val="24"/>
        </w:rPr>
        <w:t>,</w:t>
      </w:r>
      <w:r w:rsidRPr="000E029E">
        <w:rPr>
          <w:sz w:val="24"/>
          <w:szCs w:val="24"/>
        </w:rPr>
        <w:t xml:space="preserve"> but the real wage varies, so that changes in the macroeconomy have an impact on the average household</w:t>
      </w:r>
      <w:r w:rsidR="003F31CB" w:rsidRPr="000E029E">
        <w:rPr>
          <w:sz w:val="24"/>
          <w:szCs w:val="24"/>
        </w:rPr>
        <w:t>. I</w:t>
      </w:r>
      <w:r w:rsidR="00786D13" w:rsidRPr="000E029E">
        <w:rPr>
          <w:sz w:val="24"/>
          <w:szCs w:val="24"/>
        </w:rPr>
        <w:t>n</w:t>
      </w:r>
      <w:r w:rsidR="003F31CB" w:rsidRPr="000E029E">
        <w:rPr>
          <w:sz w:val="24"/>
          <w:szCs w:val="24"/>
        </w:rPr>
        <w:t xml:space="preserve"> scenario </w:t>
      </w:r>
      <w:r w:rsidR="00786D13" w:rsidRPr="000E029E">
        <w:rPr>
          <w:sz w:val="24"/>
          <w:szCs w:val="24"/>
        </w:rPr>
        <w:t>one</w:t>
      </w:r>
      <w:r w:rsidR="00BF3993" w:rsidRPr="000E029E">
        <w:rPr>
          <w:sz w:val="24"/>
          <w:szCs w:val="24"/>
        </w:rPr>
        <w:t>,</w:t>
      </w:r>
      <w:r w:rsidR="00786D13" w:rsidRPr="000E029E">
        <w:rPr>
          <w:sz w:val="24"/>
          <w:szCs w:val="24"/>
        </w:rPr>
        <w:t xml:space="preserve"> this increases to reflect the equalisation in unemployment rates</w:t>
      </w:r>
      <w:r w:rsidR="00BF3993" w:rsidRPr="000E029E">
        <w:rPr>
          <w:sz w:val="24"/>
          <w:szCs w:val="24"/>
        </w:rPr>
        <w:t>.</w:t>
      </w:r>
    </w:p>
    <w:p w14:paraId="47E81E19" w14:textId="0E4182AD" w:rsidR="000460C4" w:rsidRPr="000E029E" w:rsidRDefault="000460C4" w:rsidP="000460C4">
      <w:pPr>
        <w:pStyle w:val="USBullet1"/>
        <w:rPr>
          <w:sz w:val="24"/>
          <w:szCs w:val="24"/>
        </w:rPr>
      </w:pPr>
      <w:r w:rsidRPr="000E029E">
        <w:rPr>
          <w:sz w:val="24"/>
          <w:szCs w:val="24"/>
        </w:rPr>
        <w:t>Capital is flexible</w:t>
      </w:r>
      <w:r w:rsidR="00BF3993" w:rsidRPr="000E029E">
        <w:rPr>
          <w:sz w:val="24"/>
          <w:szCs w:val="24"/>
        </w:rPr>
        <w:t>,</w:t>
      </w:r>
      <w:r w:rsidRPr="000E029E">
        <w:rPr>
          <w:sz w:val="24"/>
          <w:szCs w:val="24"/>
        </w:rPr>
        <w:t xml:space="preserve"> but the rate of return is fixed, which provides investment capital for changes in business activities as long as the changes are sufficiently profitable</w:t>
      </w:r>
      <w:r w:rsidR="00BF3993" w:rsidRPr="000E029E">
        <w:rPr>
          <w:sz w:val="24"/>
          <w:szCs w:val="24"/>
        </w:rPr>
        <w:t>.</w:t>
      </w:r>
      <w:r w:rsidRPr="000E029E">
        <w:rPr>
          <w:sz w:val="24"/>
          <w:szCs w:val="24"/>
        </w:rPr>
        <w:t>  </w:t>
      </w:r>
    </w:p>
    <w:p w14:paraId="7526B352" w14:textId="697014E0" w:rsidR="00753FC1" w:rsidRPr="00312B1C" w:rsidRDefault="000460C4" w:rsidP="00312B1C">
      <w:pPr>
        <w:pStyle w:val="USBullet1"/>
        <w:rPr>
          <w:sz w:val="24"/>
          <w:szCs w:val="24"/>
        </w:rPr>
      </w:pPr>
      <w:r w:rsidRPr="000E029E">
        <w:rPr>
          <w:sz w:val="24"/>
          <w:szCs w:val="24"/>
        </w:rPr>
        <w:t>Real government consumption follows household consumption, so that government spending is constant as a percentage of the whole economy.  </w:t>
      </w:r>
    </w:p>
    <w:p w14:paraId="116AFA2C" w14:textId="77777777" w:rsidR="000460C4" w:rsidRPr="000E029E" w:rsidRDefault="000460C4" w:rsidP="000460C4">
      <w:pPr>
        <w:pStyle w:val="USBodyText"/>
        <w:rPr>
          <w:sz w:val="24"/>
          <w:szCs w:val="24"/>
        </w:rPr>
      </w:pPr>
    </w:p>
    <w:p w14:paraId="48EABFAC" w14:textId="70C801D2" w:rsidR="00985998" w:rsidRDefault="00985998">
      <w:pPr>
        <w:spacing w:after="160" w:line="259" w:lineRule="auto"/>
      </w:pPr>
      <w:r>
        <w:br w:type="page"/>
      </w:r>
    </w:p>
    <w:p w14:paraId="04146469" w14:textId="77777777" w:rsidR="00F709F3" w:rsidRPr="00D635BE" w:rsidRDefault="00F709F3" w:rsidP="00F709F3">
      <w:pPr>
        <w:pStyle w:val="Heading1"/>
      </w:pPr>
      <w:bookmarkStart w:id="34" w:name="_Toc220924673"/>
      <w:r>
        <w:lastRenderedPageBreak/>
        <w:t>Analysis and results</w:t>
      </w:r>
      <w:bookmarkEnd w:id="34"/>
    </w:p>
    <w:p w14:paraId="0BE7A92D" w14:textId="6FD63C4B" w:rsidR="00411738" w:rsidRDefault="00160177" w:rsidP="00FA3FB7">
      <w:pPr>
        <w:pStyle w:val="Heading2"/>
      </w:pPr>
      <w:bookmarkStart w:id="35" w:name="_Toc220924674"/>
      <w:r>
        <w:t xml:space="preserve">What are the potential macroeconomic benefits of better </w:t>
      </w:r>
      <w:r w:rsidR="00560F32">
        <w:t>employment and education</w:t>
      </w:r>
      <w:r w:rsidR="005128ED">
        <w:t>al</w:t>
      </w:r>
      <w:r w:rsidR="00560F32">
        <w:t xml:space="preserve"> </w:t>
      </w:r>
      <w:r w:rsidR="00FA3FB7">
        <w:t>outcomes</w:t>
      </w:r>
      <w:r w:rsidR="00411738">
        <w:t>?</w:t>
      </w:r>
      <w:bookmarkEnd w:id="35"/>
      <w:r w:rsidR="00411738">
        <w:t xml:space="preserve"> </w:t>
      </w:r>
    </w:p>
    <w:p w14:paraId="3AF7A9F3" w14:textId="75EDC679" w:rsidR="00160177" w:rsidRPr="000E029E" w:rsidRDefault="00411738" w:rsidP="00160177">
      <w:pPr>
        <w:pStyle w:val="USBodyText"/>
        <w:rPr>
          <w:sz w:val="24"/>
          <w:szCs w:val="24"/>
        </w:rPr>
      </w:pPr>
      <w:r w:rsidRPr="000E029E">
        <w:rPr>
          <w:sz w:val="24"/>
          <w:szCs w:val="24"/>
        </w:rPr>
        <w:t>In this section of the report</w:t>
      </w:r>
      <w:r w:rsidR="00FA3FB7" w:rsidRPr="000E029E">
        <w:rPr>
          <w:sz w:val="24"/>
          <w:szCs w:val="24"/>
        </w:rPr>
        <w:t>,</w:t>
      </w:r>
      <w:r w:rsidRPr="000E029E">
        <w:rPr>
          <w:sz w:val="24"/>
          <w:szCs w:val="24"/>
        </w:rPr>
        <w:t xml:space="preserve"> we </w:t>
      </w:r>
      <w:r w:rsidR="00FA3FB7" w:rsidRPr="000E029E">
        <w:rPr>
          <w:sz w:val="24"/>
          <w:szCs w:val="24"/>
        </w:rPr>
        <w:t>explore</w:t>
      </w:r>
      <w:r w:rsidR="00160177" w:rsidRPr="000E029E">
        <w:rPr>
          <w:sz w:val="24"/>
          <w:szCs w:val="24"/>
        </w:rPr>
        <w:t xml:space="preserve"> the following scenarios:</w:t>
      </w:r>
    </w:p>
    <w:p w14:paraId="15448208" w14:textId="255C68D7" w:rsidR="00160177" w:rsidRPr="000E029E" w:rsidRDefault="00160177" w:rsidP="00C227CC">
      <w:pPr>
        <w:pStyle w:val="USBullet1"/>
        <w:rPr>
          <w:sz w:val="24"/>
          <w:szCs w:val="24"/>
          <w:lang w:eastAsia="en-NZ"/>
        </w:rPr>
      </w:pPr>
      <w:r w:rsidRPr="000E029E">
        <w:rPr>
          <w:b/>
          <w:bCs/>
          <w:sz w:val="24"/>
          <w:szCs w:val="24"/>
          <w:lang w:eastAsia="en-NZ"/>
        </w:rPr>
        <w:t>Scenario 1</w:t>
      </w:r>
      <w:r w:rsidRPr="000E029E">
        <w:rPr>
          <w:sz w:val="24"/>
          <w:szCs w:val="24"/>
          <w:lang w:eastAsia="en-NZ"/>
        </w:rPr>
        <w:t xml:space="preserve"> models the economic impact of increasing employment among </w:t>
      </w:r>
      <w:r w:rsidR="005A6EF0" w:rsidRPr="000E029E">
        <w:rPr>
          <w:sz w:val="24"/>
          <w:szCs w:val="24"/>
          <w:lang w:eastAsia="en-NZ"/>
        </w:rPr>
        <w:t>disable</w:t>
      </w:r>
      <w:r w:rsidR="0094115F" w:rsidRPr="000E029E">
        <w:rPr>
          <w:sz w:val="24"/>
          <w:szCs w:val="24"/>
          <w:lang w:eastAsia="en-NZ"/>
        </w:rPr>
        <w:t>d</w:t>
      </w:r>
      <w:r w:rsidR="005123B3" w:rsidRPr="000E029E">
        <w:rPr>
          <w:sz w:val="24"/>
          <w:szCs w:val="24"/>
          <w:lang w:eastAsia="en-NZ"/>
        </w:rPr>
        <w:t xml:space="preserve"> </w:t>
      </w:r>
      <w:r w:rsidRPr="000E029E">
        <w:rPr>
          <w:sz w:val="24"/>
          <w:szCs w:val="24"/>
          <w:lang w:eastAsia="en-NZ"/>
        </w:rPr>
        <w:t xml:space="preserve">people. </w:t>
      </w:r>
    </w:p>
    <w:p w14:paraId="081C6C01" w14:textId="4706ACDC" w:rsidR="00160177" w:rsidRPr="000E029E" w:rsidRDefault="00160177" w:rsidP="00C227CC">
      <w:pPr>
        <w:pStyle w:val="USBullet1"/>
        <w:rPr>
          <w:sz w:val="24"/>
          <w:szCs w:val="24"/>
          <w:lang w:eastAsia="en-NZ"/>
        </w:rPr>
      </w:pPr>
      <w:r w:rsidRPr="000E029E">
        <w:rPr>
          <w:b/>
          <w:bCs/>
          <w:sz w:val="24"/>
          <w:szCs w:val="24"/>
          <w:lang w:eastAsia="en-NZ"/>
        </w:rPr>
        <w:t>Scenario 2</w:t>
      </w:r>
      <w:r w:rsidRPr="000E029E">
        <w:rPr>
          <w:sz w:val="24"/>
          <w:szCs w:val="24"/>
          <w:lang w:eastAsia="en-NZ"/>
        </w:rPr>
        <w:t xml:space="preserve"> models the impact of higher productivity driven by improved educational outcomes for </w:t>
      </w:r>
      <w:r w:rsidR="005B2A86" w:rsidRPr="000E029E">
        <w:rPr>
          <w:sz w:val="24"/>
          <w:szCs w:val="24"/>
          <w:lang w:eastAsia="en-NZ"/>
        </w:rPr>
        <w:t>disabled</w:t>
      </w:r>
      <w:r w:rsidR="005123B3" w:rsidRPr="000E029E">
        <w:rPr>
          <w:sz w:val="24"/>
          <w:szCs w:val="24"/>
          <w:lang w:eastAsia="en-NZ"/>
        </w:rPr>
        <w:t xml:space="preserve"> people</w:t>
      </w:r>
      <w:r w:rsidR="007F2F4B" w:rsidRPr="000E029E">
        <w:rPr>
          <w:sz w:val="24"/>
          <w:szCs w:val="24"/>
          <w:lang w:eastAsia="en-NZ"/>
        </w:rPr>
        <w:t xml:space="preserve"> </w:t>
      </w:r>
      <w:r w:rsidR="007C5808">
        <w:rPr>
          <w:sz w:val="24"/>
          <w:szCs w:val="24"/>
          <w:lang w:eastAsia="en-NZ"/>
        </w:rPr>
        <w:t>who</w:t>
      </w:r>
      <w:r w:rsidR="007C5808" w:rsidRPr="000E029E">
        <w:rPr>
          <w:sz w:val="24"/>
          <w:szCs w:val="24"/>
          <w:lang w:eastAsia="en-NZ"/>
        </w:rPr>
        <w:t xml:space="preserve"> </w:t>
      </w:r>
      <w:r w:rsidR="007F2F4B" w:rsidRPr="000E029E">
        <w:rPr>
          <w:sz w:val="24"/>
          <w:szCs w:val="24"/>
          <w:lang w:eastAsia="en-NZ"/>
        </w:rPr>
        <w:t>are currently employed</w:t>
      </w:r>
      <w:r w:rsidRPr="000E029E">
        <w:rPr>
          <w:sz w:val="24"/>
          <w:szCs w:val="24"/>
          <w:lang w:eastAsia="en-NZ"/>
        </w:rPr>
        <w:t>.</w:t>
      </w:r>
    </w:p>
    <w:p w14:paraId="14D4CF1C" w14:textId="05A5FFC9" w:rsidR="009434CB" w:rsidRPr="00CA2B0F" w:rsidRDefault="009434CB" w:rsidP="00B92281">
      <w:pPr>
        <w:pStyle w:val="Heading2"/>
      </w:pPr>
      <w:bookmarkStart w:id="36" w:name="_Toc220924675"/>
      <w:r w:rsidRPr="00CA2B0F">
        <w:t xml:space="preserve">Decreasing </w:t>
      </w:r>
      <w:r w:rsidR="005B2A86">
        <w:t>u</w:t>
      </w:r>
      <w:r w:rsidR="00CA2B0F" w:rsidRPr="00CA2B0F">
        <w:t>nemployment</w:t>
      </w:r>
      <w:r w:rsidR="005B2A86">
        <w:t xml:space="preserve"> a</w:t>
      </w:r>
      <w:r w:rsidRPr="00CA2B0F">
        <w:t xml:space="preserve">mong </w:t>
      </w:r>
      <w:r w:rsidR="005B2A86">
        <w:t>disabled p</w:t>
      </w:r>
      <w:r w:rsidRPr="00CA2B0F">
        <w:t>eople</w:t>
      </w:r>
      <w:bookmarkEnd w:id="36"/>
      <w:r w:rsidRPr="00CA2B0F">
        <w:t xml:space="preserve"> </w:t>
      </w:r>
    </w:p>
    <w:p w14:paraId="4FE5B4BA" w14:textId="57E36706" w:rsidR="006D56B4" w:rsidRPr="000E029E" w:rsidRDefault="00855CE7" w:rsidP="009434CB">
      <w:pPr>
        <w:pStyle w:val="USBodyText"/>
        <w:rPr>
          <w:sz w:val="24"/>
          <w:szCs w:val="24"/>
        </w:rPr>
      </w:pPr>
      <w:r w:rsidRPr="000E029E">
        <w:rPr>
          <w:sz w:val="24"/>
          <w:szCs w:val="24"/>
        </w:rPr>
        <w:t xml:space="preserve">Disabled people in New Zealand </w:t>
      </w:r>
      <w:r w:rsidR="005128ED" w:rsidRPr="000E029E">
        <w:rPr>
          <w:sz w:val="24"/>
          <w:szCs w:val="24"/>
        </w:rPr>
        <w:t xml:space="preserve">form </w:t>
      </w:r>
      <w:r w:rsidRPr="000E029E">
        <w:rPr>
          <w:sz w:val="24"/>
          <w:szCs w:val="24"/>
        </w:rPr>
        <w:t xml:space="preserve">a significant and broad group of people. </w:t>
      </w:r>
      <w:r w:rsidR="00260BE1" w:rsidRPr="000E029E">
        <w:rPr>
          <w:sz w:val="24"/>
          <w:szCs w:val="24"/>
        </w:rPr>
        <w:t>Disabilities can range in type</w:t>
      </w:r>
      <w:r w:rsidR="005128ED" w:rsidRPr="000E029E">
        <w:rPr>
          <w:sz w:val="24"/>
          <w:szCs w:val="24"/>
        </w:rPr>
        <w:t>,</w:t>
      </w:r>
      <w:r w:rsidR="00260BE1" w:rsidRPr="000E029E">
        <w:rPr>
          <w:sz w:val="24"/>
          <w:szCs w:val="24"/>
        </w:rPr>
        <w:t xml:space="preserve"> including physical, </w:t>
      </w:r>
      <w:r w:rsidR="00335E14" w:rsidRPr="000E029E">
        <w:rPr>
          <w:sz w:val="24"/>
          <w:szCs w:val="24"/>
        </w:rPr>
        <w:t>visual, auditory, learning,</w:t>
      </w:r>
      <w:r w:rsidR="00260BE1" w:rsidRPr="000E029E">
        <w:rPr>
          <w:sz w:val="24"/>
          <w:szCs w:val="24"/>
        </w:rPr>
        <w:t xml:space="preserve"> and intellectual. The severity of disability also varies considerably</w:t>
      </w:r>
      <w:r w:rsidR="007C5808">
        <w:rPr>
          <w:sz w:val="24"/>
          <w:szCs w:val="24"/>
        </w:rPr>
        <w:t>,</w:t>
      </w:r>
      <w:r w:rsidR="00260BE1" w:rsidRPr="000E029E">
        <w:rPr>
          <w:sz w:val="24"/>
          <w:szCs w:val="24"/>
        </w:rPr>
        <w:t xml:space="preserve"> from very mild to very severe. </w:t>
      </w:r>
      <w:r w:rsidR="00636E77" w:rsidRPr="000E029E">
        <w:rPr>
          <w:sz w:val="24"/>
          <w:szCs w:val="24"/>
        </w:rPr>
        <w:t>In this context, it is a large community of people</w:t>
      </w:r>
      <w:r w:rsidR="005128ED" w:rsidRPr="000E029E">
        <w:rPr>
          <w:sz w:val="24"/>
          <w:szCs w:val="24"/>
        </w:rPr>
        <w:t>,</w:t>
      </w:r>
      <w:r w:rsidR="00636E77" w:rsidRPr="000E029E">
        <w:rPr>
          <w:sz w:val="24"/>
          <w:szCs w:val="24"/>
        </w:rPr>
        <w:t xml:space="preserve"> many </w:t>
      </w:r>
      <w:r w:rsidR="005128ED" w:rsidRPr="000E029E">
        <w:rPr>
          <w:sz w:val="24"/>
          <w:szCs w:val="24"/>
        </w:rPr>
        <w:t xml:space="preserve">of </w:t>
      </w:r>
      <w:r w:rsidR="00636E77" w:rsidRPr="000E029E">
        <w:rPr>
          <w:sz w:val="24"/>
          <w:szCs w:val="24"/>
        </w:rPr>
        <w:t>who</w:t>
      </w:r>
      <w:r w:rsidR="005128ED" w:rsidRPr="000E029E">
        <w:rPr>
          <w:sz w:val="24"/>
          <w:szCs w:val="24"/>
        </w:rPr>
        <w:t>m</w:t>
      </w:r>
      <w:r w:rsidR="00636E77" w:rsidRPr="000E029E">
        <w:rPr>
          <w:sz w:val="24"/>
          <w:szCs w:val="24"/>
        </w:rPr>
        <w:t xml:space="preserve"> are </w:t>
      </w:r>
      <w:r w:rsidR="00CA7B65" w:rsidRPr="000E029E">
        <w:rPr>
          <w:sz w:val="24"/>
          <w:szCs w:val="24"/>
        </w:rPr>
        <w:t>available</w:t>
      </w:r>
      <w:r w:rsidR="00636E77" w:rsidRPr="000E029E">
        <w:rPr>
          <w:sz w:val="24"/>
          <w:szCs w:val="24"/>
        </w:rPr>
        <w:t xml:space="preserve"> and </w:t>
      </w:r>
      <w:r w:rsidR="00A137D8" w:rsidRPr="000E029E">
        <w:rPr>
          <w:sz w:val="24"/>
          <w:szCs w:val="24"/>
        </w:rPr>
        <w:t>able to participate</w:t>
      </w:r>
      <w:r w:rsidR="00636E77" w:rsidRPr="000E029E">
        <w:rPr>
          <w:sz w:val="24"/>
          <w:szCs w:val="24"/>
        </w:rPr>
        <w:t xml:space="preserve"> in the labour force. </w:t>
      </w:r>
      <w:r w:rsidR="005128ED" w:rsidRPr="000E029E">
        <w:rPr>
          <w:sz w:val="24"/>
          <w:szCs w:val="24"/>
        </w:rPr>
        <w:t xml:space="preserve">However, </w:t>
      </w:r>
      <w:r w:rsidR="00A74AEB" w:rsidRPr="000E029E">
        <w:rPr>
          <w:sz w:val="24"/>
          <w:szCs w:val="24"/>
        </w:rPr>
        <w:t>some</w:t>
      </w:r>
      <w:r w:rsidR="005128ED" w:rsidRPr="000E029E">
        <w:rPr>
          <w:sz w:val="24"/>
          <w:szCs w:val="24"/>
        </w:rPr>
        <w:t xml:space="preserve"> face </w:t>
      </w:r>
      <w:r w:rsidR="00A137D8" w:rsidRPr="000E029E">
        <w:rPr>
          <w:sz w:val="24"/>
          <w:szCs w:val="24"/>
        </w:rPr>
        <w:t>employment challenges too great to overcome</w:t>
      </w:r>
      <w:r w:rsidR="00E86EFB" w:rsidRPr="000E029E">
        <w:rPr>
          <w:sz w:val="24"/>
          <w:szCs w:val="24"/>
        </w:rPr>
        <w:t xml:space="preserve">. Nevertheless, with </w:t>
      </w:r>
      <w:r w:rsidR="00CA6433" w:rsidRPr="000E029E">
        <w:rPr>
          <w:sz w:val="24"/>
          <w:szCs w:val="24"/>
        </w:rPr>
        <w:t xml:space="preserve">more than half </w:t>
      </w:r>
      <w:r w:rsidR="005128ED" w:rsidRPr="000E029E">
        <w:rPr>
          <w:sz w:val="24"/>
          <w:szCs w:val="24"/>
        </w:rPr>
        <w:t>of the community not currently participating in the labour force, there is likely a group that would</w:t>
      </w:r>
      <w:r w:rsidR="00CA6433" w:rsidRPr="000E029E">
        <w:rPr>
          <w:sz w:val="24"/>
          <w:szCs w:val="24"/>
        </w:rPr>
        <w:t xml:space="preserve"> like to be in employment.</w:t>
      </w:r>
      <w:r w:rsidR="00CA7B65" w:rsidRPr="000E029E">
        <w:rPr>
          <w:sz w:val="24"/>
          <w:szCs w:val="24"/>
        </w:rPr>
        <w:t xml:space="preserve"> Survey response</w:t>
      </w:r>
      <w:r w:rsidR="00A74AEB" w:rsidRPr="000E029E">
        <w:rPr>
          <w:sz w:val="24"/>
          <w:szCs w:val="24"/>
        </w:rPr>
        <w:t>s</w:t>
      </w:r>
      <w:r w:rsidR="00CA7B65" w:rsidRPr="000E029E">
        <w:rPr>
          <w:sz w:val="24"/>
          <w:szCs w:val="24"/>
        </w:rPr>
        <w:t xml:space="preserve"> from the Disability Survey 202</w:t>
      </w:r>
      <w:r w:rsidR="00A74AEB" w:rsidRPr="000E029E">
        <w:rPr>
          <w:sz w:val="24"/>
          <w:szCs w:val="24"/>
        </w:rPr>
        <w:t>3</w:t>
      </w:r>
      <w:r w:rsidR="00CA7B65" w:rsidRPr="000E029E">
        <w:rPr>
          <w:sz w:val="24"/>
          <w:szCs w:val="24"/>
        </w:rPr>
        <w:t xml:space="preserve"> indicate that the cohort of disabled people </w:t>
      </w:r>
      <w:r w:rsidR="00A74AEB" w:rsidRPr="000E029E">
        <w:rPr>
          <w:sz w:val="24"/>
          <w:szCs w:val="24"/>
        </w:rPr>
        <w:t xml:space="preserve">who </w:t>
      </w:r>
      <w:r w:rsidR="00CA7B65" w:rsidRPr="000E029E">
        <w:rPr>
          <w:sz w:val="24"/>
          <w:szCs w:val="24"/>
        </w:rPr>
        <w:t xml:space="preserve">want to work is larger than the tight definition of the Household Labour Survey </w:t>
      </w:r>
      <w:r w:rsidR="00A74AEB" w:rsidRPr="000E029E">
        <w:rPr>
          <w:sz w:val="24"/>
          <w:szCs w:val="24"/>
        </w:rPr>
        <w:t>suggests</w:t>
      </w:r>
      <w:r w:rsidR="00CA7B65" w:rsidRPr="000E029E">
        <w:rPr>
          <w:sz w:val="24"/>
          <w:szCs w:val="24"/>
        </w:rPr>
        <w:t xml:space="preserve">, due to </w:t>
      </w:r>
      <w:r w:rsidR="00A74AEB" w:rsidRPr="000E029E">
        <w:rPr>
          <w:sz w:val="24"/>
          <w:szCs w:val="24"/>
        </w:rPr>
        <w:t xml:space="preserve">the </w:t>
      </w:r>
      <w:r w:rsidR="00CA7B65" w:rsidRPr="000E029E">
        <w:rPr>
          <w:sz w:val="24"/>
          <w:szCs w:val="24"/>
        </w:rPr>
        <w:t>narrow</w:t>
      </w:r>
      <w:r w:rsidR="00A74AEB" w:rsidRPr="000E029E">
        <w:rPr>
          <w:sz w:val="24"/>
          <w:szCs w:val="24"/>
        </w:rPr>
        <w:t xml:space="preserve"> definition of unemployment.</w:t>
      </w:r>
    </w:p>
    <w:p w14:paraId="70194BAB" w14:textId="77777777" w:rsidR="00BB0F48" w:rsidRDefault="009434CB" w:rsidP="00BB0F48">
      <w:pPr>
        <w:pStyle w:val="USBodyText"/>
        <w:rPr>
          <w:sz w:val="24"/>
          <w:szCs w:val="24"/>
        </w:rPr>
      </w:pPr>
      <w:r w:rsidRPr="000E029E">
        <w:rPr>
          <w:sz w:val="24"/>
          <w:szCs w:val="24"/>
        </w:rPr>
        <w:t xml:space="preserve">Scenario 1 models the economic impact of reducing the unemployment rate for </w:t>
      </w:r>
      <w:r w:rsidR="00EB4E46" w:rsidRPr="000E029E">
        <w:rPr>
          <w:sz w:val="24"/>
          <w:szCs w:val="24"/>
        </w:rPr>
        <w:t xml:space="preserve">disabled people </w:t>
      </w:r>
      <w:r w:rsidRPr="000E029E">
        <w:rPr>
          <w:sz w:val="24"/>
          <w:szCs w:val="24"/>
        </w:rPr>
        <w:t>to match the national average</w:t>
      </w:r>
      <w:r w:rsidR="00CA2B0F" w:rsidRPr="000E029E">
        <w:rPr>
          <w:sz w:val="24"/>
          <w:szCs w:val="24"/>
        </w:rPr>
        <w:t xml:space="preserve"> among </w:t>
      </w:r>
      <w:r w:rsidR="009A057A" w:rsidRPr="000E029E">
        <w:rPr>
          <w:sz w:val="24"/>
          <w:szCs w:val="24"/>
        </w:rPr>
        <w:t>non-disabled</w:t>
      </w:r>
      <w:r w:rsidR="00CA2B0F" w:rsidRPr="000E029E">
        <w:rPr>
          <w:sz w:val="24"/>
          <w:szCs w:val="24"/>
        </w:rPr>
        <w:t xml:space="preserve"> </w:t>
      </w:r>
      <w:r w:rsidR="003A1729" w:rsidRPr="000E029E">
        <w:rPr>
          <w:sz w:val="24"/>
          <w:szCs w:val="24"/>
        </w:rPr>
        <w:t>people</w:t>
      </w:r>
      <w:r w:rsidRPr="000E029E">
        <w:rPr>
          <w:sz w:val="24"/>
          <w:szCs w:val="24"/>
        </w:rPr>
        <w:t xml:space="preserve">. Currently, the unemployment rate for </w:t>
      </w:r>
      <w:r w:rsidR="00EB4E46" w:rsidRPr="000E029E">
        <w:rPr>
          <w:sz w:val="24"/>
          <w:szCs w:val="24"/>
        </w:rPr>
        <w:t xml:space="preserve">disabled people </w:t>
      </w:r>
      <w:r w:rsidRPr="000E029E">
        <w:rPr>
          <w:sz w:val="24"/>
          <w:szCs w:val="24"/>
        </w:rPr>
        <w:t xml:space="preserve">is significantly higher than for </w:t>
      </w:r>
      <w:r w:rsidR="00A74AEB" w:rsidRPr="000E029E">
        <w:rPr>
          <w:sz w:val="24"/>
          <w:szCs w:val="24"/>
        </w:rPr>
        <w:t>non-disabled</w:t>
      </w:r>
      <w:r w:rsidRPr="000E029E">
        <w:rPr>
          <w:sz w:val="24"/>
          <w:szCs w:val="24"/>
        </w:rPr>
        <w:t xml:space="preserve"> people. This scenario considers what would happen if that gap were closed, assuming additional employment for </w:t>
      </w:r>
      <w:r w:rsidR="00EB4E46" w:rsidRPr="000E029E">
        <w:rPr>
          <w:sz w:val="24"/>
          <w:szCs w:val="24"/>
        </w:rPr>
        <w:t xml:space="preserve">disabled people </w:t>
      </w:r>
      <w:r w:rsidRPr="000E029E">
        <w:rPr>
          <w:sz w:val="24"/>
          <w:szCs w:val="24"/>
        </w:rPr>
        <w:t>without displacing existing workers.</w:t>
      </w:r>
    </w:p>
    <w:p w14:paraId="06362982" w14:textId="6C1658DB" w:rsidR="00824369" w:rsidRDefault="00676595" w:rsidP="00824369">
      <w:pPr>
        <w:pStyle w:val="USBodyText"/>
        <w:rPr>
          <w:sz w:val="24"/>
          <w:szCs w:val="24"/>
          <w:lang w:val="en-US"/>
        </w:rPr>
      </w:pPr>
      <w:r>
        <w:rPr>
          <w:sz w:val="24"/>
          <w:szCs w:val="24"/>
        </w:rPr>
        <w:t xml:space="preserve">We focus on equalising the unemployment rate </w:t>
      </w:r>
      <w:r w:rsidR="00803A01">
        <w:rPr>
          <w:sz w:val="24"/>
          <w:szCs w:val="24"/>
        </w:rPr>
        <w:t>rather than the labour participation rate</w:t>
      </w:r>
      <w:r w:rsidR="00B76B84">
        <w:rPr>
          <w:sz w:val="24"/>
          <w:szCs w:val="24"/>
        </w:rPr>
        <w:t xml:space="preserve">. This is because </w:t>
      </w:r>
      <w:r w:rsidR="004E60F7">
        <w:rPr>
          <w:sz w:val="24"/>
          <w:szCs w:val="24"/>
        </w:rPr>
        <w:t xml:space="preserve">unemployed </w:t>
      </w:r>
      <w:r w:rsidR="00F23D0D">
        <w:rPr>
          <w:sz w:val="24"/>
          <w:szCs w:val="24"/>
        </w:rPr>
        <w:t xml:space="preserve">people have </w:t>
      </w:r>
      <w:r w:rsidR="00824369" w:rsidRPr="00824369">
        <w:rPr>
          <w:sz w:val="24"/>
          <w:szCs w:val="24"/>
          <w:lang w:val="en-US"/>
        </w:rPr>
        <w:t>actively sought work in the past four weeks</w:t>
      </w:r>
      <w:r w:rsidR="00824369">
        <w:rPr>
          <w:sz w:val="24"/>
          <w:szCs w:val="24"/>
          <w:lang w:val="en-US"/>
        </w:rPr>
        <w:t xml:space="preserve">, </w:t>
      </w:r>
      <w:r w:rsidR="00F23D0D">
        <w:rPr>
          <w:sz w:val="24"/>
          <w:szCs w:val="24"/>
          <w:lang w:val="en-US"/>
        </w:rPr>
        <w:t>whereas</w:t>
      </w:r>
      <w:r w:rsidR="00445033">
        <w:rPr>
          <w:sz w:val="24"/>
          <w:szCs w:val="24"/>
          <w:lang w:val="en-US"/>
        </w:rPr>
        <w:t xml:space="preserve"> </w:t>
      </w:r>
      <w:r w:rsidR="00F23D0D">
        <w:rPr>
          <w:sz w:val="24"/>
          <w:szCs w:val="24"/>
          <w:lang w:val="en-US"/>
        </w:rPr>
        <w:t>someone</w:t>
      </w:r>
      <w:r w:rsidR="00445033">
        <w:rPr>
          <w:sz w:val="24"/>
          <w:szCs w:val="24"/>
          <w:lang w:val="en-US"/>
        </w:rPr>
        <w:t xml:space="preserve"> not in the labour </w:t>
      </w:r>
      <w:r w:rsidR="00F23D0D">
        <w:rPr>
          <w:sz w:val="24"/>
          <w:szCs w:val="24"/>
          <w:lang w:val="en-US"/>
        </w:rPr>
        <w:t xml:space="preserve">force </w:t>
      </w:r>
      <w:r w:rsidR="00F23D0D" w:rsidRPr="00824369">
        <w:rPr>
          <w:sz w:val="24"/>
          <w:szCs w:val="24"/>
          <w:lang w:val="en-US"/>
        </w:rPr>
        <w:t>can</w:t>
      </w:r>
      <w:r w:rsidR="00F23D0D">
        <w:rPr>
          <w:sz w:val="24"/>
          <w:szCs w:val="24"/>
          <w:lang w:val="en-US"/>
        </w:rPr>
        <w:t xml:space="preserve"> be due to a range of reasons, including:</w:t>
      </w:r>
    </w:p>
    <w:p w14:paraId="5175C50A" w14:textId="78CE539C" w:rsidR="00262225" w:rsidRPr="000E029E" w:rsidRDefault="00262225" w:rsidP="00262225">
      <w:pPr>
        <w:pStyle w:val="USBullet1"/>
        <w:rPr>
          <w:sz w:val="24"/>
          <w:szCs w:val="24"/>
        </w:rPr>
      </w:pPr>
      <w:r w:rsidRPr="000E029E">
        <w:rPr>
          <w:sz w:val="24"/>
          <w:szCs w:val="24"/>
        </w:rPr>
        <w:t xml:space="preserve">are retired </w:t>
      </w:r>
    </w:p>
    <w:p w14:paraId="2E14F5DD" w14:textId="529076C0" w:rsidR="00262225" w:rsidRPr="000E029E" w:rsidRDefault="00262225" w:rsidP="00262225">
      <w:pPr>
        <w:pStyle w:val="USBullet1"/>
        <w:rPr>
          <w:sz w:val="24"/>
          <w:szCs w:val="24"/>
        </w:rPr>
      </w:pPr>
      <w:r w:rsidRPr="000E029E">
        <w:rPr>
          <w:sz w:val="24"/>
          <w:szCs w:val="24"/>
        </w:rPr>
        <w:t xml:space="preserve">have personal or family responsibilities, such as unpaid housework or childcare </w:t>
      </w:r>
    </w:p>
    <w:p w14:paraId="7528E1F8" w14:textId="68425A5E" w:rsidR="00262225" w:rsidRPr="000E029E" w:rsidRDefault="00262225" w:rsidP="00262225">
      <w:pPr>
        <w:pStyle w:val="USBullet1"/>
        <w:rPr>
          <w:sz w:val="24"/>
          <w:szCs w:val="24"/>
        </w:rPr>
      </w:pPr>
      <w:r w:rsidRPr="000E029E">
        <w:rPr>
          <w:sz w:val="24"/>
          <w:szCs w:val="24"/>
        </w:rPr>
        <w:t xml:space="preserve">are attending educational institutions </w:t>
      </w:r>
    </w:p>
    <w:p w14:paraId="3C71DA42" w14:textId="0DF9D747" w:rsidR="00262225" w:rsidRPr="000E029E" w:rsidRDefault="00262225" w:rsidP="00262225">
      <w:pPr>
        <w:pStyle w:val="USBullet1"/>
        <w:rPr>
          <w:sz w:val="24"/>
          <w:szCs w:val="24"/>
        </w:rPr>
      </w:pPr>
      <w:r w:rsidRPr="000E029E">
        <w:rPr>
          <w:sz w:val="24"/>
          <w:szCs w:val="24"/>
        </w:rPr>
        <w:t xml:space="preserve">are permanently unable to work due to sickness, injury, or disability </w:t>
      </w:r>
    </w:p>
    <w:p w14:paraId="76CEF6DB" w14:textId="23950584" w:rsidR="00262225" w:rsidRPr="000E029E" w:rsidRDefault="00262225" w:rsidP="00262225">
      <w:pPr>
        <w:pStyle w:val="USBullet1"/>
        <w:rPr>
          <w:sz w:val="24"/>
          <w:szCs w:val="24"/>
        </w:rPr>
      </w:pPr>
      <w:r w:rsidRPr="000E029E">
        <w:rPr>
          <w:sz w:val="24"/>
          <w:szCs w:val="24"/>
        </w:rPr>
        <w:t xml:space="preserve">are temporarily unavailable for work in the survey reference week </w:t>
      </w:r>
    </w:p>
    <w:p w14:paraId="21E3A246" w14:textId="77777777" w:rsidR="00F632EF" w:rsidRDefault="008E093C" w:rsidP="001B16C6">
      <w:pPr>
        <w:pStyle w:val="USBullet1"/>
        <w:rPr>
          <w:sz w:val="24"/>
          <w:szCs w:val="24"/>
        </w:rPr>
      </w:pPr>
      <w:r w:rsidRPr="008E093C">
        <w:rPr>
          <w:sz w:val="24"/>
          <w:szCs w:val="24"/>
        </w:rPr>
        <w:t>are not actively seeking work, which may reflect challenges disabled people face, including discrimination and inaccessible workplaces or recruitment processes</w:t>
      </w:r>
      <w:r>
        <w:rPr>
          <w:sz w:val="24"/>
          <w:szCs w:val="24"/>
        </w:rPr>
        <w:t>.</w:t>
      </w:r>
    </w:p>
    <w:p w14:paraId="7475BF8E" w14:textId="67BB39C7" w:rsidR="008951F7" w:rsidRPr="000E029E" w:rsidRDefault="00720000" w:rsidP="001061FE">
      <w:pPr>
        <w:pStyle w:val="USBullet1"/>
        <w:numPr>
          <w:ilvl w:val="0"/>
          <w:numId w:val="0"/>
        </w:numPr>
        <w:ind w:left="851"/>
        <w:rPr>
          <w:sz w:val="24"/>
          <w:szCs w:val="24"/>
        </w:rPr>
      </w:pPr>
      <w:r w:rsidRPr="000E029E">
        <w:rPr>
          <w:sz w:val="24"/>
          <w:szCs w:val="24"/>
        </w:rPr>
        <w:lastRenderedPageBreak/>
        <w:t>Unlocking this untapped potential in the disabled population presents a significant opportunity for both social and economic gain. By addressing the barriers that prevent willing disabled individuals from entering the workforce, such as access to inclusive education, workplace accommodations, transport, and flexible working conditions, New Zealand can increase labour force participation, reduce welfare dependency, and promote a more equitable society. Better recognition of the diverse aspirations and capabilities within the disabled community is essential to designing effective employment and education policies that enable fuller participation in economic life.</w:t>
      </w:r>
    </w:p>
    <w:p w14:paraId="76F46D6F" w14:textId="6ABEC1C2" w:rsidR="00335E14" w:rsidRPr="000E029E" w:rsidRDefault="00781620" w:rsidP="00335E14">
      <w:pPr>
        <w:pStyle w:val="USBodyText"/>
        <w:rPr>
          <w:sz w:val="24"/>
          <w:szCs w:val="24"/>
        </w:rPr>
      </w:pPr>
      <w:r w:rsidRPr="000E029E">
        <w:rPr>
          <w:b/>
          <w:bCs/>
          <w:sz w:val="24"/>
          <w:szCs w:val="24"/>
        </w:rPr>
        <w:fldChar w:fldCharType="begin"/>
      </w:r>
      <w:r w:rsidRPr="000E029E">
        <w:rPr>
          <w:b/>
          <w:bCs/>
          <w:sz w:val="24"/>
          <w:szCs w:val="24"/>
        </w:rPr>
        <w:instrText xml:space="preserve"> REF _Ref216878898 \h </w:instrText>
      </w:r>
      <w:r w:rsidR="0030729A">
        <w:rPr>
          <w:b/>
          <w:bCs/>
          <w:sz w:val="24"/>
          <w:szCs w:val="24"/>
        </w:rPr>
        <w:instrText xml:space="preserve"> \* MERGEFORMAT </w:instrText>
      </w:r>
      <w:r w:rsidRPr="000E029E">
        <w:rPr>
          <w:b/>
          <w:bCs/>
          <w:sz w:val="24"/>
          <w:szCs w:val="24"/>
        </w:rPr>
      </w:r>
      <w:r w:rsidRPr="000E029E">
        <w:rPr>
          <w:b/>
          <w:bCs/>
          <w:sz w:val="24"/>
          <w:szCs w:val="24"/>
        </w:rPr>
        <w:fldChar w:fldCharType="separate"/>
      </w:r>
      <w:r w:rsidR="006E35CE" w:rsidRPr="001061FE">
        <w:rPr>
          <w:sz w:val="24"/>
          <w:szCs w:val="24"/>
        </w:rPr>
        <w:t xml:space="preserve">Figure </w:t>
      </w:r>
      <w:r w:rsidR="006E35CE" w:rsidRPr="001061FE">
        <w:rPr>
          <w:noProof/>
          <w:sz w:val="24"/>
          <w:szCs w:val="24"/>
        </w:rPr>
        <w:t>5</w:t>
      </w:r>
      <w:r w:rsidRPr="000E029E">
        <w:rPr>
          <w:b/>
          <w:bCs/>
          <w:sz w:val="24"/>
          <w:szCs w:val="24"/>
        </w:rPr>
        <w:fldChar w:fldCharType="end"/>
      </w:r>
      <w:r w:rsidR="00335E14" w:rsidRPr="000E029E">
        <w:rPr>
          <w:b/>
          <w:bCs/>
          <w:sz w:val="24"/>
          <w:szCs w:val="24"/>
        </w:rPr>
        <w:t xml:space="preserve"> </w:t>
      </w:r>
      <w:r w:rsidR="00335E14" w:rsidRPr="000E029E">
        <w:rPr>
          <w:sz w:val="24"/>
          <w:szCs w:val="24"/>
        </w:rPr>
        <w:t xml:space="preserve">shows the </w:t>
      </w:r>
      <w:r w:rsidR="003A613A" w:rsidRPr="000E029E">
        <w:rPr>
          <w:sz w:val="24"/>
          <w:szCs w:val="24"/>
        </w:rPr>
        <w:t>i</w:t>
      </w:r>
      <w:r w:rsidR="00335E14" w:rsidRPr="000E029E">
        <w:rPr>
          <w:sz w:val="24"/>
          <w:szCs w:val="24"/>
        </w:rPr>
        <w:t>ncrease in real GDP from equating unemployment from 2017 to 202</w:t>
      </w:r>
      <w:r w:rsidR="000B08F5" w:rsidRPr="000E029E">
        <w:rPr>
          <w:sz w:val="24"/>
          <w:szCs w:val="24"/>
        </w:rPr>
        <w:t>5</w:t>
      </w:r>
      <w:r w:rsidR="00335E14" w:rsidRPr="000E029E">
        <w:rPr>
          <w:sz w:val="24"/>
          <w:szCs w:val="24"/>
        </w:rPr>
        <w:t xml:space="preserve">. </w:t>
      </w:r>
      <w:r w:rsidR="00BB0F48" w:rsidRPr="000E029E">
        <w:rPr>
          <w:sz w:val="24"/>
          <w:szCs w:val="24"/>
        </w:rPr>
        <w:t xml:space="preserve">The model predicts that closing this employment gap would have contributed an estimated </w:t>
      </w:r>
      <w:r w:rsidR="00BB0F48" w:rsidRPr="000E029E">
        <w:rPr>
          <w:b/>
          <w:bCs/>
          <w:sz w:val="24"/>
          <w:szCs w:val="24"/>
        </w:rPr>
        <w:t>$</w:t>
      </w:r>
      <w:r w:rsidR="000B08F5" w:rsidRPr="000E029E">
        <w:rPr>
          <w:b/>
          <w:bCs/>
          <w:sz w:val="24"/>
          <w:szCs w:val="24"/>
        </w:rPr>
        <w:t xml:space="preserve">578 </w:t>
      </w:r>
      <w:r w:rsidR="00BB0F48" w:rsidRPr="000E029E">
        <w:rPr>
          <w:b/>
          <w:bCs/>
          <w:sz w:val="24"/>
          <w:szCs w:val="24"/>
        </w:rPr>
        <w:t>million increase in GDP in 202</w:t>
      </w:r>
      <w:r w:rsidR="000B08F5" w:rsidRPr="000E029E">
        <w:rPr>
          <w:b/>
          <w:bCs/>
          <w:sz w:val="24"/>
          <w:szCs w:val="24"/>
        </w:rPr>
        <w:t>5</w:t>
      </w:r>
      <w:r w:rsidR="00BB0F48" w:rsidRPr="000E029E">
        <w:rPr>
          <w:sz w:val="24"/>
          <w:szCs w:val="24"/>
        </w:rPr>
        <w:t>. This outcome would also reduce welfare dependency, increase tax contributions, and improve overall household income.</w:t>
      </w:r>
    </w:p>
    <w:p w14:paraId="5154A630" w14:textId="180F67BD" w:rsidR="00335E14" w:rsidRDefault="00335E14" w:rsidP="00335E14">
      <w:pPr>
        <w:pStyle w:val="FigureCaption"/>
      </w:pPr>
      <w:bookmarkStart w:id="37" w:name="_Ref202538570"/>
      <w:bookmarkStart w:id="38" w:name="_Ref216878898"/>
      <w:bookmarkStart w:id="39" w:name="_Toc220924804"/>
      <w:r w:rsidRPr="00731CA6">
        <w:t>Figure</w:t>
      </w:r>
      <w:r w:rsidR="00781620" w:rsidRPr="00C13543">
        <w:t xml:space="preserve"> </w:t>
      </w:r>
      <w:r w:rsidR="00781620">
        <w:fldChar w:fldCharType="begin"/>
      </w:r>
      <w:r w:rsidR="00781620">
        <w:instrText xml:space="preserve"> SEQ Figure \* ARABIC </w:instrText>
      </w:r>
      <w:r w:rsidR="00781620">
        <w:fldChar w:fldCharType="separate"/>
      </w:r>
      <w:r w:rsidR="006E35CE">
        <w:rPr>
          <w:noProof/>
        </w:rPr>
        <w:t>5</w:t>
      </w:r>
      <w:r w:rsidR="00781620">
        <w:rPr>
          <w:noProof/>
        </w:rPr>
        <w:fldChar w:fldCharType="end"/>
      </w:r>
      <w:bookmarkEnd w:id="37"/>
      <w:bookmarkEnd w:id="38"/>
      <w:r w:rsidRPr="00731CA6">
        <w:t xml:space="preserve"> </w:t>
      </w:r>
      <w:r w:rsidRPr="00121385">
        <w:t>Increase in real GDP from equalising unemployment among disabled people</w:t>
      </w:r>
      <w:bookmarkEnd w:id="39"/>
    </w:p>
    <w:p w14:paraId="6E664D22" w14:textId="532D87E0" w:rsidR="001968F3" w:rsidRDefault="001968F3" w:rsidP="001968F3">
      <w:pPr>
        <w:pStyle w:val="CaptionSubheading"/>
      </w:pPr>
      <w:r>
        <w:t>$ millions</w:t>
      </w:r>
    </w:p>
    <w:p w14:paraId="37786B2F" w14:textId="63165434" w:rsidR="00335E14" w:rsidRDefault="00351D84" w:rsidP="00335E14">
      <w:pPr>
        <w:pStyle w:val="CaptionSubheading"/>
        <w:spacing w:after="0"/>
      </w:pPr>
      <w:r>
        <w:rPr>
          <w:noProof/>
        </w:rPr>
        <w:drawing>
          <wp:inline distT="0" distB="0" distL="0" distR="0" wp14:anchorId="1303D81C" wp14:editId="4369F1D2">
            <wp:extent cx="5211337" cy="2102384"/>
            <wp:effectExtent l="0" t="0" r="0" b="0"/>
            <wp:docPr id="1029340658" name="Picture 10" descr="Bar chart showing annual revenue from 2017 to 2025, with values ranging from $223 in 2020 to a projected peak of $578 in 2025. Bars are blue with dollar amounts labeled above each, highlighting a dip in 2020 followed by a steady increase through 202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340658" name="Picture 10" descr="Bar chart showing annual revenue from 2017 to 2025, with values ranging from $223 in 2020 to a projected peak of $578 in 2025. Bars are blue with dollar amounts labeled above each, highlighting a dip in 2020 followed by a steady increase through 2025.&#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24808" cy="2107818"/>
                    </a:xfrm>
                    <a:prstGeom prst="rect">
                      <a:avLst/>
                    </a:prstGeom>
                    <a:noFill/>
                  </pic:spPr>
                </pic:pic>
              </a:graphicData>
            </a:graphic>
          </wp:inline>
        </w:drawing>
      </w:r>
    </w:p>
    <w:p w14:paraId="2FF1EC7D" w14:textId="77777777" w:rsidR="00335E14" w:rsidRDefault="00335E14" w:rsidP="00335E14">
      <w:pPr>
        <w:pStyle w:val="USSource"/>
        <w:spacing w:after="100" w:afterAutospacing="1"/>
      </w:pPr>
      <w:r>
        <w:t>Source: NZIER</w:t>
      </w:r>
    </w:p>
    <w:p w14:paraId="759C2A1A" w14:textId="6C30C9B3" w:rsidR="00C10F9C" w:rsidRDefault="00F07B9C" w:rsidP="00B92281">
      <w:pPr>
        <w:pStyle w:val="Heading2"/>
      </w:pPr>
      <w:bookmarkStart w:id="40" w:name="_Toc220924676"/>
      <w:r>
        <w:t xml:space="preserve">The economic benefits of </w:t>
      </w:r>
      <w:r w:rsidR="00393D5A">
        <w:t>better education</w:t>
      </w:r>
      <w:r w:rsidR="00C03648">
        <w:t>al</w:t>
      </w:r>
      <w:r w:rsidR="00393D5A">
        <w:t xml:space="preserve"> outcomes among </w:t>
      </w:r>
      <w:r w:rsidR="00C03648">
        <w:t xml:space="preserve">disabled </w:t>
      </w:r>
      <w:r w:rsidR="00393D5A">
        <w:t>people</w:t>
      </w:r>
      <w:bookmarkEnd w:id="40"/>
    </w:p>
    <w:p w14:paraId="142CF655" w14:textId="10420B73" w:rsidR="009434CB" w:rsidRPr="000E029E" w:rsidRDefault="00C10F9C" w:rsidP="00F709F3">
      <w:pPr>
        <w:pStyle w:val="USBodyText"/>
        <w:rPr>
          <w:sz w:val="24"/>
          <w:szCs w:val="24"/>
        </w:rPr>
      </w:pPr>
      <w:r w:rsidRPr="000E029E">
        <w:rPr>
          <w:sz w:val="24"/>
          <w:szCs w:val="24"/>
        </w:rPr>
        <w:t xml:space="preserve">Scenario 2 models the effect of a 2 percent increase in the productivity of </w:t>
      </w:r>
      <w:r w:rsidR="00FF1AF7" w:rsidRPr="000E029E">
        <w:rPr>
          <w:sz w:val="24"/>
          <w:szCs w:val="24"/>
        </w:rPr>
        <w:t>disabled people</w:t>
      </w:r>
      <w:r w:rsidRPr="000E029E">
        <w:rPr>
          <w:sz w:val="24"/>
          <w:szCs w:val="24"/>
        </w:rPr>
        <w:t xml:space="preserve">, achieved through improved educational outcomes. It assumes that enhanced education </w:t>
      </w:r>
      <w:r w:rsidR="00FF1AF7" w:rsidRPr="000E029E">
        <w:rPr>
          <w:sz w:val="24"/>
          <w:szCs w:val="24"/>
        </w:rPr>
        <w:t xml:space="preserve">enables </w:t>
      </w:r>
      <w:r w:rsidR="006260BE" w:rsidRPr="000E029E">
        <w:rPr>
          <w:sz w:val="24"/>
          <w:szCs w:val="24"/>
        </w:rPr>
        <w:t>employed</w:t>
      </w:r>
      <w:r w:rsidR="00FF1AF7" w:rsidRPr="000E029E">
        <w:rPr>
          <w:sz w:val="24"/>
          <w:szCs w:val="24"/>
        </w:rPr>
        <w:t xml:space="preserve"> disabled people</w:t>
      </w:r>
      <w:r w:rsidRPr="000E029E">
        <w:rPr>
          <w:sz w:val="24"/>
          <w:szCs w:val="24"/>
        </w:rPr>
        <w:t xml:space="preserve"> to enter higher-skilled, better-paid occupations and contribute more effectively to economic output.</w:t>
      </w:r>
    </w:p>
    <w:p w14:paraId="4526FB11" w14:textId="424F5EE1" w:rsidR="00C34F6D" w:rsidRPr="000E029E" w:rsidRDefault="00C34F6D" w:rsidP="00C34F6D">
      <w:pPr>
        <w:pStyle w:val="USBodyText"/>
        <w:rPr>
          <w:sz w:val="24"/>
          <w:szCs w:val="24"/>
        </w:rPr>
      </w:pPr>
      <w:r w:rsidRPr="000E029E">
        <w:rPr>
          <w:sz w:val="24"/>
          <w:szCs w:val="24"/>
        </w:rPr>
        <w:t xml:space="preserve">The estimated macroeconomic impact under this scenario is a </w:t>
      </w:r>
      <w:r w:rsidRPr="000E029E">
        <w:rPr>
          <w:b/>
          <w:bCs/>
          <w:sz w:val="24"/>
          <w:szCs w:val="24"/>
        </w:rPr>
        <w:t>$</w:t>
      </w:r>
      <w:r w:rsidR="00143103" w:rsidRPr="000E029E">
        <w:rPr>
          <w:b/>
          <w:bCs/>
          <w:sz w:val="24"/>
          <w:szCs w:val="24"/>
        </w:rPr>
        <w:t xml:space="preserve">132 </w:t>
      </w:r>
      <w:r w:rsidRPr="000E029E">
        <w:rPr>
          <w:b/>
          <w:bCs/>
          <w:sz w:val="24"/>
          <w:szCs w:val="24"/>
        </w:rPr>
        <w:t>million increase in GDP in 202</w:t>
      </w:r>
      <w:r w:rsidR="00D606D3" w:rsidRPr="000E029E">
        <w:rPr>
          <w:b/>
          <w:bCs/>
          <w:sz w:val="24"/>
          <w:szCs w:val="24"/>
        </w:rPr>
        <w:t>5</w:t>
      </w:r>
      <w:r w:rsidRPr="000E029E">
        <w:rPr>
          <w:sz w:val="24"/>
          <w:szCs w:val="24"/>
        </w:rPr>
        <w:t>, reflecting the long-term benefits of investing in education and skill development for this population.</w:t>
      </w:r>
      <w:r w:rsidR="00CA7B65" w:rsidRPr="000E029E">
        <w:rPr>
          <w:sz w:val="24"/>
          <w:szCs w:val="24"/>
        </w:rPr>
        <w:t xml:space="preserve"> </w:t>
      </w:r>
      <w:r w:rsidR="00781620" w:rsidRPr="000E029E">
        <w:rPr>
          <w:sz w:val="24"/>
          <w:szCs w:val="24"/>
        </w:rPr>
        <w:fldChar w:fldCharType="begin"/>
      </w:r>
      <w:r w:rsidR="00781620" w:rsidRPr="000E029E">
        <w:rPr>
          <w:sz w:val="24"/>
          <w:szCs w:val="24"/>
        </w:rPr>
        <w:instrText xml:space="preserve"> REF _Ref216879195 \h </w:instrText>
      </w:r>
      <w:r w:rsidR="0030729A">
        <w:rPr>
          <w:sz w:val="24"/>
          <w:szCs w:val="24"/>
        </w:rPr>
        <w:instrText xml:space="preserve"> \* MERGEFORMAT </w:instrText>
      </w:r>
      <w:r w:rsidR="00781620" w:rsidRPr="000E029E">
        <w:rPr>
          <w:sz w:val="24"/>
          <w:szCs w:val="24"/>
        </w:rPr>
      </w:r>
      <w:r w:rsidR="00781620" w:rsidRPr="000E029E">
        <w:rPr>
          <w:sz w:val="24"/>
          <w:szCs w:val="24"/>
        </w:rPr>
        <w:fldChar w:fldCharType="separate"/>
      </w:r>
      <w:r w:rsidR="006E35CE" w:rsidRPr="001061FE">
        <w:rPr>
          <w:sz w:val="24"/>
          <w:szCs w:val="24"/>
        </w:rPr>
        <w:t xml:space="preserve">Figure </w:t>
      </w:r>
      <w:r w:rsidR="006E35CE" w:rsidRPr="001061FE">
        <w:rPr>
          <w:noProof/>
          <w:sz w:val="24"/>
          <w:szCs w:val="24"/>
        </w:rPr>
        <w:t>6</w:t>
      </w:r>
      <w:r w:rsidR="00781620" w:rsidRPr="000E029E">
        <w:rPr>
          <w:sz w:val="24"/>
          <w:szCs w:val="24"/>
        </w:rPr>
        <w:fldChar w:fldCharType="end"/>
      </w:r>
      <w:r w:rsidR="00A34B7D" w:rsidRPr="000E029E">
        <w:rPr>
          <w:sz w:val="24"/>
          <w:szCs w:val="24"/>
        </w:rPr>
        <w:t xml:space="preserve"> </w:t>
      </w:r>
      <w:r w:rsidRPr="000E029E">
        <w:rPr>
          <w:sz w:val="24"/>
          <w:szCs w:val="24"/>
        </w:rPr>
        <w:t xml:space="preserve">shows the macroeconomic benefit of </w:t>
      </w:r>
      <w:r w:rsidR="00FF1AF7" w:rsidRPr="000E029E">
        <w:rPr>
          <w:sz w:val="24"/>
          <w:szCs w:val="24"/>
        </w:rPr>
        <w:t xml:space="preserve">improved </w:t>
      </w:r>
      <w:r w:rsidRPr="000E029E">
        <w:rPr>
          <w:sz w:val="24"/>
          <w:szCs w:val="24"/>
        </w:rPr>
        <w:t>education</w:t>
      </w:r>
      <w:r w:rsidR="00FF1AF7" w:rsidRPr="000E029E">
        <w:rPr>
          <w:sz w:val="24"/>
          <w:szCs w:val="24"/>
        </w:rPr>
        <w:t>al</w:t>
      </w:r>
      <w:r w:rsidRPr="000E029E">
        <w:rPr>
          <w:sz w:val="24"/>
          <w:szCs w:val="24"/>
        </w:rPr>
        <w:t xml:space="preserve"> outcomes over time.</w:t>
      </w:r>
    </w:p>
    <w:p w14:paraId="037AA4C1" w14:textId="0D93C17C" w:rsidR="00C34F6D" w:rsidRDefault="00C34F6D" w:rsidP="00C34F6D">
      <w:pPr>
        <w:pStyle w:val="FigureCaption"/>
      </w:pPr>
      <w:bookmarkStart w:id="41" w:name="_Ref216879195"/>
      <w:bookmarkStart w:id="42" w:name="_Toc220924805"/>
      <w:r w:rsidRPr="00731CA6">
        <w:lastRenderedPageBreak/>
        <w:t>Figure</w:t>
      </w:r>
      <w:r w:rsidR="00781620" w:rsidRPr="00C13543">
        <w:t xml:space="preserve"> </w:t>
      </w:r>
      <w:r w:rsidR="00781620">
        <w:fldChar w:fldCharType="begin"/>
      </w:r>
      <w:r w:rsidR="00781620">
        <w:instrText xml:space="preserve"> SEQ Figure \* ARABIC </w:instrText>
      </w:r>
      <w:r w:rsidR="00781620">
        <w:fldChar w:fldCharType="separate"/>
      </w:r>
      <w:r w:rsidR="006E35CE">
        <w:rPr>
          <w:noProof/>
        </w:rPr>
        <w:t>6</w:t>
      </w:r>
      <w:r w:rsidR="00781620">
        <w:rPr>
          <w:noProof/>
        </w:rPr>
        <w:fldChar w:fldCharType="end"/>
      </w:r>
      <w:bookmarkEnd w:id="41"/>
      <w:r w:rsidRPr="00731CA6">
        <w:t xml:space="preserve"> </w:t>
      </w:r>
      <w:r>
        <w:t xml:space="preserve">Increase in real GDP from </w:t>
      </w:r>
      <w:r w:rsidR="00FF1AF7">
        <w:t xml:space="preserve">improved </w:t>
      </w:r>
      <w:r>
        <w:t>education</w:t>
      </w:r>
      <w:r w:rsidR="00FF1AF7">
        <w:t>al</w:t>
      </w:r>
      <w:r>
        <w:t xml:space="preserve"> outcomes</w:t>
      </w:r>
      <w:bookmarkEnd w:id="42"/>
    </w:p>
    <w:p w14:paraId="130F30F8" w14:textId="05B604C5" w:rsidR="00C34F6D" w:rsidRDefault="00FF1AF7" w:rsidP="00C34F6D">
      <w:pPr>
        <w:pStyle w:val="CaptionSubheading"/>
      </w:pPr>
      <w:r>
        <w:t>$ m</w:t>
      </w:r>
      <w:r w:rsidR="00C34F6D">
        <w:t>illions</w:t>
      </w:r>
    </w:p>
    <w:p w14:paraId="304EC7F3" w14:textId="7968FF9E" w:rsidR="00443521" w:rsidRDefault="002C63B7" w:rsidP="00C34F6D">
      <w:pPr>
        <w:pStyle w:val="CaptionSubheading"/>
      </w:pPr>
      <w:r>
        <w:rPr>
          <w:noProof/>
        </w:rPr>
        <w:drawing>
          <wp:inline distT="0" distB="0" distL="0" distR="0" wp14:anchorId="1C6B1CEC" wp14:editId="1E841BF2">
            <wp:extent cx="5151864" cy="2211465"/>
            <wp:effectExtent l="0" t="0" r="0" b="0"/>
            <wp:docPr id="90760033" name="Picture 12" descr="Bar chart showing annual revenue from 2017 to 2025 with values ranging from $112 to $147. Bars are colored pink, with highest revenue in 2021 at $147 and lowest in 2018 at $112, indicating overall growth trend with slight fluctuatio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60033" name="Picture 12" descr="Bar chart showing annual revenue from 2017 to 2025 with values ranging from $112 to $147. Bars are colored pink, with highest revenue in 2021 at $147 and lowest in 2018 at $112, indicating overall growth trend with slight fluctuations.&#10;&#10;AI-generated content may be incorrec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60718" cy="2215266"/>
                    </a:xfrm>
                    <a:prstGeom prst="rect">
                      <a:avLst/>
                    </a:prstGeom>
                    <a:noFill/>
                  </pic:spPr>
                </pic:pic>
              </a:graphicData>
            </a:graphic>
          </wp:inline>
        </w:drawing>
      </w:r>
    </w:p>
    <w:p w14:paraId="62E30F42" w14:textId="200B7109" w:rsidR="00C34F6D" w:rsidRDefault="00C34F6D" w:rsidP="00B62F26">
      <w:pPr>
        <w:pStyle w:val="USSource"/>
      </w:pPr>
      <w:r>
        <w:t>Source: NZER</w:t>
      </w:r>
    </w:p>
    <w:p w14:paraId="3DC66E90" w14:textId="008C7218" w:rsidR="00E155DC" w:rsidRDefault="00E155DC">
      <w:pPr>
        <w:spacing w:after="160" w:line="259" w:lineRule="auto"/>
        <w:rPr>
          <w:sz w:val="18"/>
        </w:rPr>
      </w:pPr>
      <w:r>
        <w:br w:type="page"/>
      </w:r>
    </w:p>
    <w:p w14:paraId="1F10A228" w14:textId="0995E12C" w:rsidR="004F0DAA" w:rsidRPr="00E76009" w:rsidRDefault="004F0DAA" w:rsidP="004F0DAA">
      <w:pPr>
        <w:pStyle w:val="Heading1"/>
      </w:pPr>
      <w:bookmarkStart w:id="43" w:name="_Toc220924677"/>
      <w:r>
        <w:lastRenderedPageBreak/>
        <w:t>Bring it all together</w:t>
      </w:r>
      <w:bookmarkEnd w:id="43"/>
    </w:p>
    <w:p w14:paraId="1DBF27EC" w14:textId="60D105A7" w:rsidR="0027326E" w:rsidRPr="000E029E" w:rsidRDefault="0027326E" w:rsidP="0027326E">
      <w:pPr>
        <w:pStyle w:val="USBodyText"/>
        <w:rPr>
          <w:sz w:val="24"/>
          <w:szCs w:val="24"/>
          <w:lang w:eastAsia="en-NZ"/>
        </w:rPr>
      </w:pPr>
      <w:r w:rsidRPr="000E029E">
        <w:rPr>
          <w:sz w:val="24"/>
          <w:szCs w:val="24"/>
          <w:lang w:eastAsia="en-NZ"/>
        </w:rPr>
        <w:t xml:space="preserve">This research highlights the significant macroeconomic and social benefits of improving employment and educational outcomes for </w:t>
      </w:r>
      <w:r w:rsidR="00B636A5" w:rsidRPr="000E029E">
        <w:rPr>
          <w:sz w:val="24"/>
          <w:szCs w:val="24"/>
        </w:rPr>
        <w:t xml:space="preserve">disabled people </w:t>
      </w:r>
      <w:r w:rsidRPr="000E029E">
        <w:rPr>
          <w:sz w:val="24"/>
          <w:szCs w:val="24"/>
          <w:lang w:eastAsia="en-NZ"/>
        </w:rPr>
        <w:t xml:space="preserve">in New Zealand. The modelling demonstrates that reducing the unemployment rate of </w:t>
      </w:r>
      <w:r w:rsidR="00B636A5" w:rsidRPr="000E029E">
        <w:rPr>
          <w:sz w:val="24"/>
          <w:szCs w:val="24"/>
        </w:rPr>
        <w:t xml:space="preserve">disabled people </w:t>
      </w:r>
      <w:r w:rsidRPr="000E029E">
        <w:rPr>
          <w:sz w:val="24"/>
          <w:szCs w:val="24"/>
          <w:lang w:eastAsia="en-NZ"/>
        </w:rPr>
        <w:t>to match the national average and increasing their productivity through better educational attainment can deliver measurable gains to the national economy. These benefits include increased GDP, reduced reliance on welfare, higher household incomes, and expanded labour force capacity.</w:t>
      </w:r>
    </w:p>
    <w:p w14:paraId="496B5C47" w14:textId="32E1B549" w:rsidR="0027326E" w:rsidRPr="000E029E" w:rsidRDefault="0027326E" w:rsidP="0027326E">
      <w:pPr>
        <w:pStyle w:val="USBodyText"/>
        <w:rPr>
          <w:sz w:val="24"/>
          <w:szCs w:val="24"/>
          <w:lang w:eastAsia="en-NZ"/>
        </w:rPr>
      </w:pPr>
      <w:r w:rsidRPr="000E029E">
        <w:rPr>
          <w:sz w:val="24"/>
          <w:szCs w:val="24"/>
          <w:lang w:eastAsia="en-NZ"/>
        </w:rPr>
        <w:t xml:space="preserve">Beyond the direct economic gains, the scenarios modelled in this study suggest substantial improvements in social wellbeing for </w:t>
      </w:r>
      <w:r w:rsidR="00331F8E" w:rsidRPr="000E029E">
        <w:rPr>
          <w:sz w:val="24"/>
          <w:szCs w:val="24"/>
          <w:lang w:eastAsia="en-NZ"/>
        </w:rPr>
        <w:t>disabled</w:t>
      </w:r>
      <w:r w:rsidR="00C4179F" w:rsidRPr="000E029E">
        <w:rPr>
          <w:sz w:val="24"/>
          <w:szCs w:val="24"/>
          <w:lang w:eastAsia="en-NZ"/>
        </w:rPr>
        <w:t xml:space="preserve"> people</w:t>
      </w:r>
      <w:r w:rsidRPr="000E029E">
        <w:rPr>
          <w:sz w:val="24"/>
          <w:szCs w:val="24"/>
          <w:lang w:eastAsia="en-NZ"/>
        </w:rPr>
        <w:t xml:space="preserve">. Increased employment and access to higher-quality jobs are associated with greater financial security, improved mental health, and higher levels of social inclusion. Education plays a particularly critical role in enabling </w:t>
      </w:r>
      <w:r w:rsidR="00FF1AF7" w:rsidRPr="000E029E">
        <w:rPr>
          <w:sz w:val="24"/>
          <w:szCs w:val="24"/>
          <w:lang w:eastAsia="en-NZ"/>
        </w:rPr>
        <w:t>di</w:t>
      </w:r>
      <w:r w:rsidR="001D1A4D" w:rsidRPr="000E029E">
        <w:rPr>
          <w:sz w:val="24"/>
          <w:szCs w:val="24"/>
          <w:lang w:eastAsia="en-NZ"/>
        </w:rPr>
        <w:t>sabled people</w:t>
      </w:r>
      <w:r w:rsidR="00FF1AF7" w:rsidRPr="000E029E">
        <w:rPr>
          <w:sz w:val="24"/>
          <w:szCs w:val="24"/>
          <w:lang w:eastAsia="en-NZ"/>
        </w:rPr>
        <w:t xml:space="preserve"> </w:t>
      </w:r>
      <w:r w:rsidRPr="000E029E">
        <w:rPr>
          <w:sz w:val="24"/>
          <w:szCs w:val="24"/>
          <w:lang w:eastAsia="en-NZ"/>
        </w:rPr>
        <w:t>to access sustainable employment and participate meaningfully in the evolving labour market, especially as digital and knowledge-based sectors continue to grow.</w:t>
      </w:r>
    </w:p>
    <w:p w14:paraId="36BFFDF0" w14:textId="64E551AB" w:rsidR="0027326E" w:rsidRPr="000E029E" w:rsidRDefault="0027326E" w:rsidP="0027326E">
      <w:pPr>
        <w:pStyle w:val="USBodyText"/>
        <w:rPr>
          <w:sz w:val="24"/>
          <w:szCs w:val="24"/>
          <w:lang w:eastAsia="en-NZ"/>
        </w:rPr>
      </w:pPr>
      <w:r w:rsidRPr="000E029E">
        <w:rPr>
          <w:sz w:val="24"/>
          <w:szCs w:val="24"/>
          <w:lang w:eastAsia="en-NZ"/>
        </w:rPr>
        <w:t xml:space="preserve">However, the analysis also reinforces that systemic barriers continue to constrain opportunities for </w:t>
      </w:r>
      <w:r w:rsidR="005F7704" w:rsidRPr="000E029E">
        <w:rPr>
          <w:sz w:val="24"/>
          <w:szCs w:val="24"/>
          <w:lang w:eastAsia="en-NZ"/>
        </w:rPr>
        <w:t>disabled people</w:t>
      </w:r>
      <w:r w:rsidRPr="000E029E">
        <w:rPr>
          <w:sz w:val="24"/>
          <w:szCs w:val="24"/>
          <w:lang w:eastAsia="en-NZ"/>
        </w:rPr>
        <w:t>. Addressing these barriers requires a coordinated policy response that integrates accessible education pathways, inclusive workplace practices, early intervention strategies, and equitable access to remote and flexible work arrangements.</w:t>
      </w:r>
    </w:p>
    <w:p w14:paraId="7E7DBA79" w14:textId="79F7B5A0" w:rsidR="0027326E" w:rsidRPr="000E029E" w:rsidRDefault="0027326E" w:rsidP="0027326E">
      <w:pPr>
        <w:pStyle w:val="USBodyText"/>
        <w:rPr>
          <w:sz w:val="24"/>
          <w:szCs w:val="24"/>
          <w:lang w:eastAsia="en-NZ"/>
        </w:rPr>
      </w:pPr>
      <w:r w:rsidRPr="000E029E">
        <w:rPr>
          <w:sz w:val="24"/>
          <w:szCs w:val="24"/>
          <w:lang w:eastAsia="en-NZ"/>
        </w:rPr>
        <w:t xml:space="preserve">Realising the economic potential identified in this research will require </w:t>
      </w:r>
      <w:r w:rsidR="00CA7C8A">
        <w:rPr>
          <w:sz w:val="24"/>
          <w:szCs w:val="24"/>
          <w:lang w:eastAsia="en-NZ"/>
        </w:rPr>
        <w:t>deliberate,</w:t>
      </w:r>
      <w:r w:rsidRPr="000E029E">
        <w:rPr>
          <w:sz w:val="24"/>
          <w:szCs w:val="24"/>
          <w:lang w:eastAsia="en-NZ"/>
        </w:rPr>
        <w:t xml:space="preserve"> sustained investment in disability inclusion. Doing so will not only improve outcomes for </w:t>
      </w:r>
      <w:r w:rsidR="005F7704" w:rsidRPr="000E029E">
        <w:rPr>
          <w:sz w:val="24"/>
          <w:szCs w:val="24"/>
          <w:lang w:eastAsia="en-NZ"/>
        </w:rPr>
        <w:t>disabled people</w:t>
      </w:r>
      <w:r w:rsidRPr="000E029E">
        <w:rPr>
          <w:sz w:val="24"/>
          <w:szCs w:val="24"/>
          <w:lang w:eastAsia="en-NZ"/>
        </w:rPr>
        <w:t xml:space="preserve"> but also strengthen New Zealand’s long-term economic resilience, fiscal sustainability, and social cohesion. Creating a more inclusive labour market is both an economic opportunity and a social imperative.</w:t>
      </w:r>
    </w:p>
    <w:p w14:paraId="7A61D416" w14:textId="5A9EBCB8" w:rsidR="00D500FD" w:rsidRDefault="00D500FD" w:rsidP="00D500FD">
      <w:pPr>
        <w:pStyle w:val="Heading2"/>
        <w:rPr>
          <w:lang w:eastAsia="en-NZ"/>
        </w:rPr>
      </w:pPr>
      <w:bookmarkStart w:id="44" w:name="_Toc220924678"/>
      <w:r>
        <w:rPr>
          <w:lang w:eastAsia="en-NZ"/>
        </w:rPr>
        <w:t>Implications for</w:t>
      </w:r>
      <w:r w:rsidR="00CD7B47">
        <w:rPr>
          <w:lang w:eastAsia="en-NZ"/>
        </w:rPr>
        <w:t xml:space="preserve"> current</w:t>
      </w:r>
      <w:r>
        <w:rPr>
          <w:lang w:eastAsia="en-NZ"/>
        </w:rPr>
        <w:t xml:space="preserve"> policy</w:t>
      </w:r>
      <w:r w:rsidR="00CD7B47">
        <w:rPr>
          <w:lang w:eastAsia="en-NZ"/>
        </w:rPr>
        <w:t xml:space="preserve"> settings</w:t>
      </w:r>
      <w:bookmarkEnd w:id="44"/>
    </w:p>
    <w:p w14:paraId="44999786" w14:textId="29F4B1AF" w:rsidR="001D6964" w:rsidRPr="000E029E" w:rsidRDefault="001343DF" w:rsidP="00D500FD">
      <w:pPr>
        <w:pStyle w:val="USBodyText"/>
        <w:rPr>
          <w:sz w:val="24"/>
          <w:szCs w:val="24"/>
          <w:lang w:eastAsia="en-NZ"/>
        </w:rPr>
      </w:pPr>
      <w:r w:rsidRPr="000E029E">
        <w:rPr>
          <w:sz w:val="24"/>
          <w:szCs w:val="24"/>
          <w:lang w:eastAsia="en-NZ"/>
        </w:rPr>
        <w:t xml:space="preserve">Many active labour market policy interventions are </w:t>
      </w:r>
      <w:r w:rsidR="001D1A4D" w:rsidRPr="000E029E">
        <w:rPr>
          <w:sz w:val="24"/>
          <w:szCs w:val="24"/>
          <w:lang w:eastAsia="en-NZ"/>
        </w:rPr>
        <w:t>currently</w:t>
      </w:r>
      <w:r w:rsidRPr="000E029E">
        <w:rPr>
          <w:sz w:val="24"/>
          <w:szCs w:val="24"/>
          <w:lang w:eastAsia="en-NZ"/>
        </w:rPr>
        <w:t xml:space="preserve"> in place </w:t>
      </w:r>
      <w:r w:rsidR="00661DEB" w:rsidRPr="000E029E">
        <w:rPr>
          <w:sz w:val="24"/>
          <w:szCs w:val="24"/>
          <w:lang w:eastAsia="en-NZ"/>
        </w:rPr>
        <w:t xml:space="preserve">to support </w:t>
      </w:r>
      <w:r w:rsidR="00B636A5" w:rsidRPr="000E029E">
        <w:rPr>
          <w:sz w:val="24"/>
          <w:szCs w:val="24"/>
        </w:rPr>
        <w:t>disabled people</w:t>
      </w:r>
      <w:r w:rsidR="00661DEB" w:rsidRPr="000E029E">
        <w:rPr>
          <w:sz w:val="24"/>
          <w:szCs w:val="24"/>
          <w:lang w:eastAsia="en-NZ"/>
        </w:rPr>
        <w:t>. While this research does not examine the</w:t>
      </w:r>
      <w:r w:rsidR="00C8634B" w:rsidRPr="000E029E">
        <w:rPr>
          <w:sz w:val="24"/>
          <w:szCs w:val="24"/>
          <w:lang w:eastAsia="en-NZ"/>
        </w:rPr>
        <w:t>ir</w:t>
      </w:r>
      <w:r w:rsidR="00661DEB" w:rsidRPr="000E029E">
        <w:rPr>
          <w:sz w:val="24"/>
          <w:szCs w:val="24"/>
          <w:lang w:eastAsia="en-NZ"/>
        </w:rPr>
        <w:t xml:space="preserve"> effectiveness</w:t>
      </w:r>
      <w:r w:rsidR="001D6964" w:rsidRPr="000E029E">
        <w:rPr>
          <w:sz w:val="24"/>
          <w:szCs w:val="24"/>
          <w:lang w:eastAsia="en-NZ"/>
        </w:rPr>
        <w:t xml:space="preserve"> or the optimal mix of support</w:t>
      </w:r>
      <w:r w:rsidR="00661DEB" w:rsidRPr="000E029E">
        <w:rPr>
          <w:sz w:val="24"/>
          <w:szCs w:val="24"/>
          <w:lang w:eastAsia="en-NZ"/>
        </w:rPr>
        <w:t xml:space="preserve">, it is clear that there </w:t>
      </w:r>
      <w:r w:rsidR="001D1A4D" w:rsidRPr="000E029E">
        <w:rPr>
          <w:sz w:val="24"/>
          <w:szCs w:val="24"/>
          <w:lang w:eastAsia="en-NZ"/>
        </w:rPr>
        <w:t xml:space="preserve">is </w:t>
      </w:r>
      <w:r w:rsidR="00C633AB">
        <w:rPr>
          <w:sz w:val="24"/>
          <w:szCs w:val="24"/>
          <w:lang w:eastAsia="en-NZ"/>
        </w:rPr>
        <w:t>significant economic and social potential in</w:t>
      </w:r>
      <w:r w:rsidR="00F668C9" w:rsidRPr="000E029E">
        <w:rPr>
          <w:sz w:val="24"/>
          <w:szCs w:val="24"/>
          <w:lang w:eastAsia="en-NZ"/>
        </w:rPr>
        <w:t xml:space="preserve"> supporting the</w:t>
      </w:r>
      <w:r w:rsidR="00A679B3" w:rsidRPr="000E029E">
        <w:rPr>
          <w:sz w:val="24"/>
          <w:szCs w:val="24"/>
          <w:lang w:eastAsia="en-NZ"/>
        </w:rPr>
        <w:t xml:space="preserve"> large group of </w:t>
      </w:r>
      <w:r w:rsidR="00B20459" w:rsidRPr="000E029E">
        <w:rPr>
          <w:sz w:val="24"/>
          <w:szCs w:val="24"/>
        </w:rPr>
        <w:t xml:space="preserve">disabled people </w:t>
      </w:r>
      <w:r w:rsidR="00F668C9" w:rsidRPr="000E029E">
        <w:rPr>
          <w:sz w:val="24"/>
          <w:szCs w:val="24"/>
          <w:lang w:eastAsia="en-NZ"/>
        </w:rPr>
        <w:t xml:space="preserve">into </w:t>
      </w:r>
      <w:r w:rsidR="00B17247" w:rsidRPr="000E029E">
        <w:rPr>
          <w:sz w:val="24"/>
          <w:szCs w:val="24"/>
          <w:lang w:eastAsia="en-NZ"/>
        </w:rPr>
        <w:t>more and better employment</w:t>
      </w:r>
      <w:r w:rsidR="00762A4A" w:rsidRPr="000E029E">
        <w:rPr>
          <w:sz w:val="24"/>
          <w:szCs w:val="24"/>
          <w:lang w:eastAsia="en-NZ"/>
        </w:rPr>
        <w:t>.</w:t>
      </w:r>
      <w:r w:rsidR="00746823" w:rsidRPr="000E029E">
        <w:rPr>
          <w:sz w:val="24"/>
          <w:szCs w:val="24"/>
          <w:lang w:eastAsia="en-NZ"/>
        </w:rPr>
        <w:t xml:space="preserve"> </w:t>
      </w:r>
    </w:p>
    <w:p w14:paraId="74802612" w14:textId="39FBD882" w:rsidR="008509D5" w:rsidRPr="000E029E" w:rsidRDefault="001021BE" w:rsidP="00D500FD">
      <w:pPr>
        <w:pStyle w:val="USBodyText"/>
        <w:rPr>
          <w:sz w:val="24"/>
          <w:szCs w:val="24"/>
          <w:lang w:eastAsia="en-NZ"/>
        </w:rPr>
      </w:pPr>
      <w:r w:rsidRPr="000E029E">
        <w:rPr>
          <w:sz w:val="24"/>
          <w:szCs w:val="24"/>
          <w:lang w:eastAsia="en-NZ"/>
        </w:rPr>
        <w:t>Current p</w:t>
      </w:r>
      <w:r w:rsidR="00746823" w:rsidRPr="000E029E">
        <w:rPr>
          <w:sz w:val="24"/>
          <w:szCs w:val="24"/>
          <w:lang w:eastAsia="en-NZ"/>
        </w:rPr>
        <w:t>olicy settings to consider</w:t>
      </w:r>
      <w:r w:rsidR="00CD4B9B" w:rsidRPr="000E029E">
        <w:rPr>
          <w:sz w:val="24"/>
          <w:szCs w:val="24"/>
          <w:lang w:eastAsia="en-NZ"/>
        </w:rPr>
        <w:t xml:space="preserve"> in more granularity </w:t>
      </w:r>
      <w:r w:rsidRPr="000E029E">
        <w:rPr>
          <w:sz w:val="24"/>
          <w:szCs w:val="24"/>
          <w:lang w:eastAsia="en-NZ"/>
        </w:rPr>
        <w:t>with</w:t>
      </w:r>
      <w:r w:rsidR="00CD4B9B" w:rsidRPr="000E029E">
        <w:rPr>
          <w:sz w:val="24"/>
          <w:szCs w:val="24"/>
          <w:lang w:eastAsia="en-NZ"/>
        </w:rPr>
        <w:t xml:space="preserve"> </w:t>
      </w:r>
      <w:r w:rsidR="00CA45A0" w:rsidRPr="000E029E">
        <w:rPr>
          <w:sz w:val="24"/>
          <w:szCs w:val="24"/>
          <w:lang w:eastAsia="en-NZ"/>
        </w:rPr>
        <w:t xml:space="preserve">scaling and refinement in mind </w:t>
      </w:r>
      <w:r w:rsidR="001D6964" w:rsidRPr="000E029E">
        <w:rPr>
          <w:sz w:val="24"/>
          <w:szCs w:val="24"/>
          <w:lang w:eastAsia="en-NZ"/>
        </w:rPr>
        <w:t xml:space="preserve">for </w:t>
      </w:r>
      <w:r w:rsidR="00B20459" w:rsidRPr="000E029E">
        <w:rPr>
          <w:sz w:val="24"/>
          <w:szCs w:val="24"/>
        </w:rPr>
        <w:t xml:space="preserve">disabled people </w:t>
      </w:r>
      <w:r w:rsidR="00CA45A0" w:rsidRPr="000E029E">
        <w:rPr>
          <w:sz w:val="24"/>
          <w:szCs w:val="24"/>
          <w:lang w:eastAsia="en-NZ"/>
        </w:rPr>
        <w:t>include:</w:t>
      </w:r>
    </w:p>
    <w:p w14:paraId="369FDA90" w14:textId="32A1AB1F" w:rsidR="00746823" w:rsidRPr="000E029E" w:rsidRDefault="00166054" w:rsidP="00ED25CB">
      <w:pPr>
        <w:pStyle w:val="USBullet1"/>
        <w:rPr>
          <w:sz w:val="24"/>
          <w:szCs w:val="24"/>
          <w:lang w:eastAsia="en-NZ"/>
        </w:rPr>
      </w:pPr>
      <w:r w:rsidRPr="000E029E">
        <w:rPr>
          <w:sz w:val="24"/>
          <w:szCs w:val="24"/>
          <w:lang w:eastAsia="en-NZ"/>
        </w:rPr>
        <w:t>i</w:t>
      </w:r>
      <w:r w:rsidR="008542F5" w:rsidRPr="000E029E">
        <w:rPr>
          <w:sz w:val="24"/>
          <w:szCs w:val="24"/>
          <w:lang w:eastAsia="en-NZ"/>
        </w:rPr>
        <w:t>nte</w:t>
      </w:r>
      <w:r w:rsidR="00DC6566" w:rsidRPr="000E029E">
        <w:rPr>
          <w:sz w:val="24"/>
          <w:szCs w:val="24"/>
          <w:lang w:eastAsia="en-NZ"/>
        </w:rPr>
        <w:t>g</w:t>
      </w:r>
      <w:r w:rsidR="008542F5" w:rsidRPr="000E029E">
        <w:rPr>
          <w:sz w:val="24"/>
          <w:szCs w:val="24"/>
          <w:lang w:eastAsia="en-NZ"/>
        </w:rPr>
        <w:t>rated support</w:t>
      </w:r>
      <w:r w:rsidRPr="000E029E">
        <w:rPr>
          <w:sz w:val="24"/>
          <w:szCs w:val="24"/>
          <w:lang w:eastAsia="en-NZ"/>
        </w:rPr>
        <w:t xml:space="preserve"> across health, education and work</w:t>
      </w:r>
    </w:p>
    <w:p w14:paraId="09BA5D66" w14:textId="37C7FBE6" w:rsidR="000B144D" w:rsidRPr="000E029E" w:rsidRDefault="001D1A4D" w:rsidP="00ED25CB">
      <w:pPr>
        <w:pStyle w:val="USBullet1"/>
        <w:rPr>
          <w:sz w:val="24"/>
          <w:szCs w:val="24"/>
          <w:lang w:eastAsia="en-NZ"/>
        </w:rPr>
      </w:pPr>
      <w:r w:rsidRPr="000E029E">
        <w:rPr>
          <w:sz w:val="24"/>
          <w:szCs w:val="24"/>
          <w:lang w:eastAsia="en-NZ"/>
        </w:rPr>
        <w:t>employer-</w:t>
      </w:r>
      <w:r w:rsidR="000B144D" w:rsidRPr="000E029E">
        <w:rPr>
          <w:sz w:val="24"/>
          <w:szCs w:val="24"/>
          <w:lang w:eastAsia="en-NZ"/>
        </w:rPr>
        <w:t>focused interventions</w:t>
      </w:r>
    </w:p>
    <w:p w14:paraId="2F74DA61" w14:textId="05B96595" w:rsidR="00CA45A0" w:rsidRPr="000E029E" w:rsidRDefault="00CA45A0" w:rsidP="00ED25CB">
      <w:pPr>
        <w:pStyle w:val="USBullet1"/>
        <w:rPr>
          <w:sz w:val="24"/>
          <w:szCs w:val="24"/>
          <w:lang w:eastAsia="en-NZ"/>
        </w:rPr>
      </w:pPr>
      <w:r w:rsidRPr="000E029E">
        <w:rPr>
          <w:sz w:val="24"/>
          <w:szCs w:val="24"/>
          <w:lang w:eastAsia="en-NZ"/>
        </w:rPr>
        <w:t>assistiv</w:t>
      </w:r>
      <w:r w:rsidR="00F14014" w:rsidRPr="000E029E">
        <w:rPr>
          <w:sz w:val="24"/>
          <w:szCs w:val="24"/>
          <w:lang w:eastAsia="en-NZ"/>
        </w:rPr>
        <w:t>e technology</w:t>
      </w:r>
    </w:p>
    <w:p w14:paraId="24FF3A22" w14:textId="1700BF74" w:rsidR="001021BE" w:rsidRPr="000E029E" w:rsidRDefault="001021BE" w:rsidP="00ED25CB">
      <w:pPr>
        <w:pStyle w:val="USBullet1"/>
        <w:rPr>
          <w:sz w:val="24"/>
          <w:szCs w:val="24"/>
          <w:lang w:eastAsia="en-NZ"/>
        </w:rPr>
      </w:pPr>
      <w:r w:rsidRPr="000E029E">
        <w:rPr>
          <w:sz w:val="24"/>
          <w:szCs w:val="24"/>
          <w:lang w:eastAsia="en-NZ"/>
        </w:rPr>
        <w:t>accessible infrastructure</w:t>
      </w:r>
      <w:r w:rsidR="001D1A4D" w:rsidRPr="000E029E">
        <w:rPr>
          <w:sz w:val="24"/>
          <w:szCs w:val="24"/>
          <w:lang w:eastAsia="en-NZ"/>
        </w:rPr>
        <w:t>.</w:t>
      </w:r>
      <w:r w:rsidRPr="000E029E">
        <w:rPr>
          <w:sz w:val="24"/>
          <w:szCs w:val="24"/>
          <w:lang w:eastAsia="en-NZ"/>
        </w:rPr>
        <w:t xml:space="preserve"> </w:t>
      </w:r>
    </w:p>
    <w:p w14:paraId="44FC6356" w14:textId="18F34F30" w:rsidR="00D500FD" w:rsidRPr="000E029E" w:rsidRDefault="00D77B29" w:rsidP="00D500FD">
      <w:pPr>
        <w:pStyle w:val="USBodyText"/>
        <w:rPr>
          <w:sz w:val="24"/>
          <w:szCs w:val="24"/>
          <w:lang w:eastAsia="en-NZ"/>
        </w:rPr>
      </w:pPr>
      <w:r w:rsidRPr="000E029E">
        <w:rPr>
          <w:sz w:val="24"/>
          <w:szCs w:val="24"/>
          <w:lang w:eastAsia="en-NZ"/>
        </w:rPr>
        <w:t xml:space="preserve">Attention to design, scale and coherence </w:t>
      </w:r>
      <w:r w:rsidR="002F3D89" w:rsidRPr="000E029E">
        <w:rPr>
          <w:sz w:val="24"/>
          <w:szCs w:val="24"/>
          <w:lang w:eastAsia="en-NZ"/>
        </w:rPr>
        <w:t>come</w:t>
      </w:r>
      <w:r w:rsidR="001D1A4D" w:rsidRPr="000E029E">
        <w:rPr>
          <w:sz w:val="24"/>
          <w:szCs w:val="24"/>
          <w:lang w:eastAsia="en-NZ"/>
        </w:rPr>
        <w:t>s</w:t>
      </w:r>
      <w:r w:rsidR="002F3D89" w:rsidRPr="000E029E">
        <w:rPr>
          <w:sz w:val="24"/>
          <w:szCs w:val="24"/>
          <w:lang w:eastAsia="en-NZ"/>
        </w:rPr>
        <w:t xml:space="preserve"> from working closely with </w:t>
      </w:r>
      <w:r w:rsidR="00B20459" w:rsidRPr="000E029E">
        <w:rPr>
          <w:sz w:val="24"/>
          <w:szCs w:val="24"/>
          <w:lang w:eastAsia="en-NZ"/>
        </w:rPr>
        <w:t>disabled people</w:t>
      </w:r>
      <w:r w:rsidR="00F75B6A" w:rsidRPr="000E029E">
        <w:rPr>
          <w:sz w:val="24"/>
          <w:szCs w:val="24"/>
          <w:lang w:eastAsia="en-NZ"/>
        </w:rPr>
        <w:t>.</w:t>
      </w:r>
    </w:p>
    <w:p w14:paraId="2F3AB27A" w14:textId="29B2C66E" w:rsidR="00177A67" w:rsidRDefault="00177A67" w:rsidP="00177A67">
      <w:pPr>
        <w:pStyle w:val="Heading2"/>
      </w:pPr>
      <w:bookmarkStart w:id="45" w:name="_Toc220924679"/>
      <w:r>
        <w:lastRenderedPageBreak/>
        <w:t xml:space="preserve">Opportunities for </w:t>
      </w:r>
      <w:r w:rsidR="00401B01">
        <w:t>f</w:t>
      </w:r>
      <w:r>
        <w:t xml:space="preserve">urther </w:t>
      </w:r>
      <w:r w:rsidR="00401B01">
        <w:t>r</w:t>
      </w:r>
      <w:r>
        <w:t>esearch</w:t>
      </w:r>
      <w:bookmarkEnd w:id="45"/>
    </w:p>
    <w:p w14:paraId="138B4517" w14:textId="341611DA" w:rsidR="0024751B" w:rsidRPr="000E029E" w:rsidRDefault="00177A67" w:rsidP="0024751B">
      <w:pPr>
        <w:pStyle w:val="USBodyText"/>
        <w:rPr>
          <w:sz w:val="24"/>
          <w:szCs w:val="24"/>
        </w:rPr>
      </w:pPr>
      <w:r w:rsidRPr="000E029E">
        <w:rPr>
          <w:sz w:val="24"/>
          <w:szCs w:val="24"/>
        </w:rPr>
        <w:t xml:space="preserve">This study </w:t>
      </w:r>
      <w:r w:rsidR="001D1A4D" w:rsidRPr="000E029E">
        <w:rPr>
          <w:sz w:val="24"/>
          <w:szCs w:val="24"/>
        </w:rPr>
        <w:t>offers</w:t>
      </w:r>
      <w:r w:rsidRPr="000E029E">
        <w:rPr>
          <w:sz w:val="24"/>
          <w:szCs w:val="24"/>
        </w:rPr>
        <w:t xml:space="preserve"> valuable insights into the macroeconomic benefits of improving employment and educational outcomes for </w:t>
      </w:r>
      <w:r w:rsidR="00073180" w:rsidRPr="000E029E">
        <w:rPr>
          <w:sz w:val="24"/>
          <w:szCs w:val="24"/>
        </w:rPr>
        <w:t>disabled people</w:t>
      </w:r>
      <w:r w:rsidRPr="000E029E">
        <w:rPr>
          <w:sz w:val="24"/>
          <w:szCs w:val="24"/>
        </w:rPr>
        <w:t>, but several areas warrant further investigation to strengthen the evidence base and inform policy development.</w:t>
      </w:r>
      <w:r w:rsidR="0024751B" w:rsidRPr="000E029E">
        <w:rPr>
          <w:sz w:val="24"/>
          <w:szCs w:val="24"/>
        </w:rPr>
        <w:t xml:space="preserve"> Collectively, these research opportunities would contribute to a more comprehensive understanding of the pathways to economic inclusion for </w:t>
      </w:r>
      <w:r w:rsidR="004F20DB" w:rsidRPr="000E029E">
        <w:rPr>
          <w:sz w:val="24"/>
          <w:szCs w:val="24"/>
        </w:rPr>
        <w:t>disabled people</w:t>
      </w:r>
      <w:r w:rsidR="0024751B" w:rsidRPr="000E029E">
        <w:rPr>
          <w:sz w:val="24"/>
          <w:szCs w:val="24"/>
        </w:rPr>
        <w:t xml:space="preserve"> and provide practical evidence to guide disability-inclusive policy and investment.</w:t>
      </w:r>
    </w:p>
    <w:p w14:paraId="79DDB23B" w14:textId="52789E36" w:rsidR="00177A67" w:rsidRPr="000E029E" w:rsidRDefault="0024751B" w:rsidP="00177A67">
      <w:pPr>
        <w:pStyle w:val="USBodyText"/>
        <w:rPr>
          <w:sz w:val="24"/>
          <w:szCs w:val="24"/>
        </w:rPr>
      </w:pPr>
      <w:r w:rsidRPr="000E029E">
        <w:rPr>
          <w:sz w:val="24"/>
          <w:szCs w:val="24"/>
        </w:rPr>
        <w:t>The opportunities for further research include the following</w:t>
      </w:r>
      <w:r w:rsidR="006319EB" w:rsidRPr="000E029E">
        <w:rPr>
          <w:sz w:val="24"/>
          <w:szCs w:val="24"/>
        </w:rPr>
        <w:t>:</w:t>
      </w:r>
    </w:p>
    <w:p w14:paraId="591FFFE5" w14:textId="37BB9A53" w:rsidR="00177A67" w:rsidRPr="000E029E" w:rsidRDefault="0024751B" w:rsidP="00177A67">
      <w:pPr>
        <w:pStyle w:val="Heading5"/>
        <w:rPr>
          <w:sz w:val="24"/>
          <w:szCs w:val="24"/>
        </w:rPr>
      </w:pPr>
      <w:r w:rsidRPr="000E029E">
        <w:rPr>
          <w:sz w:val="24"/>
          <w:szCs w:val="24"/>
        </w:rPr>
        <w:t>Disaggregated economic impacts</w:t>
      </w:r>
    </w:p>
    <w:p w14:paraId="3BA8DA3F" w14:textId="77777777" w:rsidR="00177A67" w:rsidRPr="000E029E" w:rsidRDefault="00177A67" w:rsidP="00177A67">
      <w:pPr>
        <w:pStyle w:val="USBodyText"/>
        <w:rPr>
          <w:sz w:val="24"/>
          <w:szCs w:val="24"/>
        </w:rPr>
      </w:pPr>
      <w:r w:rsidRPr="000E029E">
        <w:rPr>
          <w:sz w:val="24"/>
          <w:szCs w:val="24"/>
        </w:rPr>
        <w:t>Further research could quantify the macroeconomic impacts by industry and region to understand where the greatest gains from disability inclusion are likely to occur. Sector-specific modelling could help identify industries with the highest potential to absorb additional disabled workers or benefit from improved productivity.</w:t>
      </w:r>
    </w:p>
    <w:p w14:paraId="6447A555" w14:textId="282C0FEB" w:rsidR="00177A67" w:rsidRPr="000E029E" w:rsidRDefault="0024751B" w:rsidP="00177A67">
      <w:pPr>
        <w:pStyle w:val="Heading5"/>
        <w:rPr>
          <w:sz w:val="24"/>
          <w:szCs w:val="24"/>
        </w:rPr>
      </w:pPr>
      <w:r w:rsidRPr="000E029E">
        <w:rPr>
          <w:sz w:val="24"/>
          <w:szCs w:val="24"/>
        </w:rPr>
        <w:t>Longitudinal analysis of employment pathways</w:t>
      </w:r>
    </w:p>
    <w:p w14:paraId="2B9E92CF" w14:textId="6415D4FF" w:rsidR="00177A67" w:rsidRPr="000E029E" w:rsidRDefault="00177A67" w:rsidP="00177A67">
      <w:pPr>
        <w:pStyle w:val="USBodyText"/>
        <w:rPr>
          <w:sz w:val="24"/>
          <w:szCs w:val="24"/>
        </w:rPr>
      </w:pPr>
      <w:r w:rsidRPr="000E029E">
        <w:rPr>
          <w:sz w:val="24"/>
          <w:szCs w:val="24"/>
        </w:rPr>
        <w:t xml:space="preserve">There is a need for longitudinal studies that track the employment trajectories of </w:t>
      </w:r>
      <w:r w:rsidR="00F35412" w:rsidRPr="000E029E">
        <w:rPr>
          <w:sz w:val="24"/>
          <w:szCs w:val="24"/>
        </w:rPr>
        <w:t xml:space="preserve">disabled people </w:t>
      </w:r>
      <w:r w:rsidRPr="000E029E">
        <w:rPr>
          <w:sz w:val="24"/>
          <w:szCs w:val="24"/>
        </w:rPr>
        <w:t>over time. Such research would provide a better understanding of the barriers to sustained employment, transitions between education and work, and the long-term earnings and wellbeing outcomes associated with different qualification levels.</w:t>
      </w:r>
    </w:p>
    <w:p w14:paraId="3A7D2C29" w14:textId="4D780ED9" w:rsidR="00177A67" w:rsidRPr="000E029E" w:rsidRDefault="00177A67" w:rsidP="0024751B">
      <w:pPr>
        <w:pStyle w:val="Heading5"/>
        <w:rPr>
          <w:sz w:val="24"/>
          <w:szCs w:val="24"/>
        </w:rPr>
      </w:pPr>
      <w:r w:rsidRPr="000E029E">
        <w:rPr>
          <w:sz w:val="24"/>
          <w:szCs w:val="24"/>
        </w:rPr>
        <w:t>Cost-</w:t>
      </w:r>
      <w:r w:rsidR="00331F8E" w:rsidRPr="000E029E">
        <w:rPr>
          <w:sz w:val="24"/>
          <w:szCs w:val="24"/>
        </w:rPr>
        <w:t>b</w:t>
      </w:r>
      <w:r w:rsidRPr="000E029E">
        <w:rPr>
          <w:sz w:val="24"/>
          <w:szCs w:val="24"/>
        </w:rPr>
        <w:t xml:space="preserve">enefit </w:t>
      </w:r>
      <w:r w:rsidR="00331F8E" w:rsidRPr="000E029E">
        <w:rPr>
          <w:sz w:val="24"/>
          <w:szCs w:val="24"/>
        </w:rPr>
        <w:t>a</w:t>
      </w:r>
      <w:r w:rsidRPr="000E029E">
        <w:rPr>
          <w:sz w:val="24"/>
          <w:szCs w:val="24"/>
        </w:rPr>
        <w:t xml:space="preserve">nalysis of </w:t>
      </w:r>
      <w:r w:rsidR="00331F8E" w:rsidRPr="000E029E">
        <w:rPr>
          <w:sz w:val="24"/>
          <w:szCs w:val="24"/>
        </w:rPr>
        <w:t>t</w:t>
      </w:r>
      <w:r w:rsidRPr="000E029E">
        <w:rPr>
          <w:sz w:val="24"/>
          <w:szCs w:val="24"/>
        </w:rPr>
        <w:t>argeted Interventions</w:t>
      </w:r>
    </w:p>
    <w:p w14:paraId="6F140047" w14:textId="4DB79E1A" w:rsidR="00177A67" w:rsidRPr="000E029E" w:rsidRDefault="00177A67" w:rsidP="00177A67">
      <w:pPr>
        <w:pStyle w:val="USBodyText"/>
        <w:rPr>
          <w:sz w:val="24"/>
          <w:szCs w:val="24"/>
        </w:rPr>
      </w:pPr>
      <w:r w:rsidRPr="000E029E">
        <w:rPr>
          <w:sz w:val="24"/>
          <w:szCs w:val="24"/>
        </w:rPr>
        <w:t xml:space="preserve">Future studies could assess the costs and benefits of specific policy interventions, such as workplace accessibility improvements, inclusive education initiatives, </w:t>
      </w:r>
      <w:r w:rsidR="002B7396" w:rsidRPr="000E029E">
        <w:rPr>
          <w:sz w:val="24"/>
          <w:szCs w:val="24"/>
        </w:rPr>
        <w:t xml:space="preserve">expanding </w:t>
      </w:r>
      <w:r w:rsidRPr="000E029E">
        <w:rPr>
          <w:sz w:val="24"/>
          <w:szCs w:val="24"/>
        </w:rPr>
        <w:t>remote work, and employer incentives. This would support more targeted and efficient policy design.</w:t>
      </w:r>
    </w:p>
    <w:p w14:paraId="6B3FD264" w14:textId="23253920" w:rsidR="00177A67" w:rsidRPr="000E029E" w:rsidRDefault="0099155C" w:rsidP="00177A67">
      <w:pPr>
        <w:pStyle w:val="Heading5"/>
        <w:rPr>
          <w:sz w:val="24"/>
          <w:szCs w:val="24"/>
        </w:rPr>
      </w:pPr>
      <w:r w:rsidRPr="000E029E">
        <w:rPr>
          <w:sz w:val="24"/>
          <w:szCs w:val="24"/>
        </w:rPr>
        <w:t>Employer behaviour and demand-side barriers</w:t>
      </w:r>
    </w:p>
    <w:p w14:paraId="0A77305B" w14:textId="65111F6E" w:rsidR="00177A67" w:rsidRPr="000E029E" w:rsidRDefault="00177A67" w:rsidP="00177A67">
      <w:pPr>
        <w:pStyle w:val="USBodyText"/>
        <w:rPr>
          <w:sz w:val="24"/>
          <w:szCs w:val="24"/>
        </w:rPr>
      </w:pPr>
      <w:r w:rsidRPr="000E029E">
        <w:rPr>
          <w:sz w:val="24"/>
          <w:szCs w:val="24"/>
        </w:rPr>
        <w:t xml:space="preserve">Research into employer attitudes, hiring practices, and organisational readiness for disability inclusion would help to address demand-side constraints in the labour market. Understanding how businesses can be supported to improve </w:t>
      </w:r>
      <w:r w:rsidR="00984ED1" w:rsidRPr="000E029E">
        <w:rPr>
          <w:sz w:val="24"/>
          <w:szCs w:val="24"/>
        </w:rPr>
        <w:t xml:space="preserve">the </w:t>
      </w:r>
      <w:r w:rsidRPr="000E029E">
        <w:rPr>
          <w:sz w:val="24"/>
          <w:szCs w:val="24"/>
        </w:rPr>
        <w:t>recruitment and retention of disabled employees is essential.</w:t>
      </w:r>
    </w:p>
    <w:p w14:paraId="629DC5E3" w14:textId="1DDE3FC8" w:rsidR="00177A67" w:rsidRPr="000E029E" w:rsidRDefault="0099155C" w:rsidP="00F77C5F">
      <w:pPr>
        <w:pStyle w:val="Heading5"/>
        <w:rPr>
          <w:sz w:val="24"/>
          <w:szCs w:val="24"/>
        </w:rPr>
      </w:pPr>
      <w:r w:rsidRPr="000E029E">
        <w:rPr>
          <w:sz w:val="24"/>
          <w:szCs w:val="24"/>
        </w:rPr>
        <w:t xml:space="preserve">Barriers to remote work for disabled people in </w:t>
      </w:r>
      <w:r w:rsidR="00331F8E" w:rsidRPr="000E029E">
        <w:rPr>
          <w:sz w:val="24"/>
          <w:szCs w:val="24"/>
        </w:rPr>
        <w:t>New Zealand</w:t>
      </w:r>
    </w:p>
    <w:p w14:paraId="59BD8A20" w14:textId="77777777" w:rsidR="00177A67" w:rsidRPr="000E029E" w:rsidRDefault="00177A67" w:rsidP="00177A67">
      <w:pPr>
        <w:pStyle w:val="USBodyText"/>
        <w:rPr>
          <w:sz w:val="24"/>
          <w:szCs w:val="24"/>
        </w:rPr>
      </w:pPr>
      <w:r w:rsidRPr="000E029E">
        <w:rPr>
          <w:sz w:val="24"/>
          <w:szCs w:val="24"/>
        </w:rPr>
        <w:t>While international studies have explored the impact of teleworking on disabled people, New Zealand-specific evidence is limited. Investigating the accessibility, availability, and effectiveness of remote work arrangements in the New Zealand labour market would provide relevant guidance for local policy.</w:t>
      </w:r>
    </w:p>
    <w:p w14:paraId="6E679BF9" w14:textId="63B362A7" w:rsidR="00177A67" w:rsidRPr="000E029E" w:rsidRDefault="0099155C" w:rsidP="005A512C">
      <w:pPr>
        <w:pStyle w:val="Heading5"/>
        <w:rPr>
          <w:sz w:val="24"/>
          <w:szCs w:val="24"/>
        </w:rPr>
      </w:pPr>
      <w:r w:rsidRPr="000E029E">
        <w:rPr>
          <w:sz w:val="24"/>
          <w:szCs w:val="24"/>
        </w:rPr>
        <w:t>Intersections with other forms of disadvantage</w:t>
      </w:r>
    </w:p>
    <w:p w14:paraId="17D780B7" w14:textId="77777777" w:rsidR="00177A67" w:rsidRPr="000E029E" w:rsidRDefault="00177A67" w:rsidP="00177A67">
      <w:pPr>
        <w:pStyle w:val="USBodyText"/>
        <w:rPr>
          <w:sz w:val="24"/>
          <w:szCs w:val="24"/>
        </w:rPr>
      </w:pPr>
      <w:r w:rsidRPr="000E029E">
        <w:rPr>
          <w:sz w:val="24"/>
          <w:szCs w:val="24"/>
        </w:rPr>
        <w:t>Further research is needed to explore how disability intersects with other factors such as gender, ethnicity, age, and socioeconomic status in shaping labour market outcomes. This would allow for more nuanced policy responses that address compounded disadvantage.</w:t>
      </w:r>
    </w:p>
    <w:p w14:paraId="43849876" w14:textId="17B7E478" w:rsidR="00177A67" w:rsidRPr="000E029E" w:rsidRDefault="0024751B" w:rsidP="0024751B">
      <w:pPr>
        <w:pStyle w:val="Heading5"/>
        <w:rPr>
          <w:sz w:val="24"/>
          <w:szCs w:val="24"/>
        </w:rPr>
      </w:pPr>
      <w:r w:rsidRPr="000E029E">
        <w:rPr>
          <w:sz w:val="24"/>
          <w:szCs w:val="24"/>
        </w:rPr>
        <w:lastRenderedPageBreak/>
        <w:t>Impact of early education interventions</w:t>
      </w:r>
    </w:p>
    <w:p w14:paraId="50D9D1F0" w14:textId="2C469609" w:rsidR="00177A67" w:rsidRPr="000E029E" w:rsidRDefault="00177A67" w:rsidP="00177A67">
      <w:pPr>
        <w:pStyle w:val="USBodyText"/>
        <w:rPr>
          <w:sz w:val="24"/>
          <w:szCs w:val="24"/>
        </w:rPr>
      </w:pPr>
      <w:r w:rsidRPr="000E029E">
        <w:rPr>
          <w:sz w:val="24"/>
          <w:szCs w:val="24"/>
        </w:rPr>
        <w:t xml:space="preserve">Evaluating the long-term impacts of inclusive early childhood and secondary education on employment outcomes for </w:t>
      </w:r>
      <w:r w:rsidR="009F026F" w:rsidRPr="000E029E">
        <w:rPr>
          <w:sz w:val="24"/>
          <w:szCs w:val="24"/>
        </w:rPr>
        <w:t xml:space="preserve">disabled people </w:t>
      </w:r>
      <w:r w:rsidRPr="000E029E">
        <w:rPr>
          <w:sz w:val="24"/>
          <w:szCs w:val="24"/>
        </w:rPr>
        <w:t>would support investment in education as a key enabler of future labour market participation.</w:t>
      </w:r>
    </w:p>
    <w:p w14:paraId="5B722693" w14:textId="453EBF80" w:rsidR="004F0DAA" w:rsidRDefault="004F0DAA">
      <w:pPr>
        <w:spacing w:after="160" w:line="259" w:lineRule="auto"/>
      </w:pPr>
      <w:r>
        <w:br w:type="page"/>
      </w:r>
    </w:p>
    <w:p w14:paraId="13457322" w14:textId="56B34E01" w:rsidR="004F0DAA" w:rsidRDefault="004F0DAA" w:rsidP="004F0DAA">
      <w:pPr>
        <w:pStyle w:val="Heading1"/>
      </w:pPr>
      <w:bookmarkStart w:id="46" w:name="_Toc220924680"/>
      <w:r>
        <w:lastRenderedPageBreak/>
        <w:t>References</w:t>
      </w:r>
      <w:bookmarkEnd w:id="46"/>
    </w:p>
    <w:p w14:paraId="191AF9B1" w14:textId="77777777" w:rsidR="00B149C2" w:rsidRPr="00B149C2" w:rsidRDefault="00C01B81" w:rsidP="00B149C2">
      <w:pPr>
        <w:pStyle w:val="Bibliography"/>
      </w:pPr>
      <w:r w:rsidRPr="000E029E">
        <w:rPr>
          <w:szCs w:val="24"/>
        </w:rPr>
        <w:fldChar w:fldCharType="begin"/>
      </w:r>
      <w:r w:rsidR="00703AE9" w:rsidRPr="000E029E">
        <w:rPr>
          <w:szCs w:val="24"/>
        </w:rPr>
        <w:instrText xml:space="preserve"> ADDIN ZOTERO_BIBL {"uncited":[],"omitted":[],"custom":[]} CSL_BIBLIOGRAPHY </w:instrText>
      </w:r>
      <w:r w:rsidRPr="000E029E">
        <w:rPr>
          <w:szCs w:val="24"/>
        </w:rPr>
        <w:fldChar w:fldCharType="separate"/>
      </w:r>
      <w:r w:rsidR="00B149C2" w:rsidRPr="00B149C2">
        <w:t xml:space="preserve">Becker, Gary S. 1992. “Education, Labor Force Quality, and the Economy.” </w:t>
      </w:r>
      <w:r w:rsidR="00B149C2" w:rsidRPr="00B149C2">
        <w:rPr>
          <w:i/>
          <w:iCs/>
        </w:rPr>
        <w:t>Business Economics</w:t>
      </w:r>
      <w:r w:rsidR="00B149C2" w:rsidRPr="00B149C2">
        <w:t xml:space="preserve"> 27 (1): 7–12.</w:t>
      </w:r>
    </w:p>
    <w:p w14:paraId="3AE9C57B" w14:textId="77777777" w:rsidR="00B149C2" w:rsidRPr="00B149C2" w:rsidRDefault="00B149C2" w:rsidP="00B149C2">
      <w:pPr>
        <w:pStyle w:val="Bibliography"/>
      </w:pPr>
      <w:r w:rsidRPr="00B149C2">
        <w:t>Card, David. 1994. “Earnings, Schooling, and Ability Revisited.” Working Paper No. 4832. Working Paper Series. National Bureau of Economic Research, August. https://doi.org/10.3386/w4832.</w:t>
      </w:r>
    </w:p>
    <w:p w14:paraId="3549D2C8" w14:textId="77777777" w:rsidR="00B149C2" w:rsidRPr="00B149C2" w:rsidRDefault="00B149C2" w:rsidP="00B149C2">
      <w:pPr>
        <w:pStyle w:val="Bibliography"/>
      </w:pPr>
      <w:r w:rsidRPr="00B149C2">
        <w:t xml:space="preserve">Card, David. 1999. “Chapter 30 - The Causal Effect of Education on Earnings.” In </w:t>
      </w:r>
      <w:r w:rsidRPr="00B149C2">
        <w:rPr>
          <w:i/>
          <w:iCs/>
        </w:rPr>
        <w:t>Handbook of Labor Economics</w:t>
      </w:r>
      <w:r w:rsidRPr="00B149C2">
        <w:t>, edited by Orley C. Ashenfelter and David Card, vol. 3. Elsevier. https://doi.org/10.1016/S1573-4463(99)03011-4.</w:t>
      </w:r>
    </w:p>
    <w:p w14:paraId="6C2806FD" w14:textId="77777777" w:rsidR="00B149C2" w:rsidRPr="00B149C2" w:rsidRDefault="00B149C2" w:rsidP="00B149C2">
      <w:pPr>
        <w:pStyle w:val="Bibliography"/>
      </w:pPr>
      <w:r w:rsidRPr="00B149C2">
        <w:t xml:space="preserve">Florisson, Rebecca, George Williams, Alice Martin, et al. 2025. </w:t>
      </w:r>
      <w:r w:rsidRPr="00B149C2">
        <w:rPr>
          <w:i/>
          <w:iCs/>
        </w:rPr>
        <w:t>Beyond the Office? How Remote and Hybrid Working Can Help Close the Disability Employment Gap</w:t>
      </w:r>
      <w:r w:rsidRPr="00B149C2">
        <w:t>. Interim report of the Inclusive Remote and Hybrid Working Study. Lancaster University. https://www.lancaster.ac.uk/media/lancaster-university/content-assets/documents/lums/work-foundation/reports/BeyondtheOffice(LU,WF,MMU,UI).pdf.</w:t>
      </w:r>
    </w:p>
    <w:p w14:paraId="56A10AED" w14:textId="32D1C0E3" w:rsidR="00B149C2" w:rsidRPr="00B149C2" w:rsidRDefault="00B149C2" w:rsidP="00B149C2">
      <w:pPr>
        <w:pStyle w:val="Bibliography"/>
      </w:pPr>
      <w:r w:rsidRPr="00B149C2">
        <w:t xml:space="preserve">Heckman, James J., John Eric Humphries, and Gregory Veramendi. 2018. “The Nonmarket Benefits of Education and Ability.” </w:t>
      </w:r>
      <w:r w:rsidRPr="00B149C2">
        <w:rPr>
          <w:i/>
          <w:iCs/>
        </w:rPr>
        <w:t>Journal of Human Capital</w:t>
      </w:r>
      <w:r w:rsidRPr="00B149C2">
        <w:t xml:space="preserve"> 12 (2): 282–304. https://doi.org/10.1086/697535.</w:t>
      </w:r>
    </w:p>
    <w:p w14:paraId="7B2CF90A" w14:textId="77777777" w:rsidR="00B149C2" w:rsidRPr="00B149C2" w:rsidRDefault="00B149C2" w:rsidP="00B149C2">
      <w:pPr>
        <w:pStyle w:val="Bibliography"/>
      </w:pPr>
      <w:r w:rsidRPr="00B149C2">
        <w:t xml:space="preserve">Hoque, Kim, and Nick Bacon. 2022. “Working from Home and Disabled People’s Employment Outcomes.” </w:t>
      </w:r>
      <w:r w:rsidRPr="00B149C2">
        <w:rPr>
          <w:i/>
          <w:iCs/>
        </w:rPr>
        <w:t>British Journal of Industrial Relations</w:t>
      </w:r>
      <w:r w:rsidRPr="00B149C2">
        <w:t xml:space="preserve"> 60 (March): 32–56. https://doi.org/10.1111/bjir.12645.</w:t>
      </w:r>
    </w:p>
    <w:p w14:paraId="075AF7C3" w14:textId="77777777" w:rsidR="00B149C2" w:rsidRPr="00B149C2" w:rsidRDefault="00B149C2" w:rsidP="00B149C2">
      <w:pPr>
        <w:pStyle w:val="Bibliography"/>
      </w:pPr>
      <w:r w:rsidRPr="00B149C2">
        <w:t>Ministry of Business, Innovation and Employment. 2025. “Disabled Peoples (Aged 15 to 64 Years) Labour Market Statistics Snapshot - June 2025.” https://www.mbie.govt.nz/dmsdocument/31056-disabled-peoples-aged-15-to-64-years-labour-market-statistics-snapshot-june-2025-pdf.</w:t>
      </w:r>
    </w:p>
    <w:p w14:paraId="47DFA285" w14:textId="77777777" w:rsidR="00B149C2" w:rsidRPr="00B149C2" w:rsidRDefault="00B149C2" w:rsidP="00B149C2">
      <w:pPr>
        <w:pStyle w:val="Bibliography"/>
      </w:pPr>
      <w:r w:rsidRPr="00B149C2">
        <w:t xml:space="preserve">NZIER. 2017. </w:t>
      </w:r>
      <w:r w:rsidRPr="00B149C2">
        <w:rPr>
          <w:i/>
          <w:iCs/>
        </w:rPr>
        <w:t>Valuing Access to Work</w:t>
      </w:r>
      <w:r w:rsidRPr="00B149C2">
        <w:t>. Blind Foundation for the Access Alliance.</w:t>
      </w:r>
    </w:p>
    <w:p w14:paraId="766076B7" w14:textId="77777777" w:rsidR="00B149C2" w:rsidRPr="00B149C2" w:rsidRDefault="00B149C2" w:rsidP="00B149C2">
      <w:pPr>
        <w:pStyle w:val="Bibliography"/>
      </w:pPr>
      <w:r w:rsidRPr="00B149C2">
        <w:t>OECD. 2010. “Sickness, Disability and Work: Breaking the Barriers.” OECD. https://www.oecd.org/en/publications/sickness-disability-and-work-breaking-the-barriers_9789264088856-en.html.</w:t>
      </w:r>
    </w:p>
    <w:p w14:paraId="696AA85F" w14:textId="33E18AC0" w:rsidR="00B149C2" w:rsidRPr="00B149C2" w:rsidRDefault="00B149C2" w:rsidP="00B149C2">
      <w:pPr>
        <w:pStyle w:val="Bibliography"/>
      </w:pPr>
      <w:r w:rsidRPr="00B149C2">
        <w:t xml:space="preserve">OECD. 2022. </w:t>
      </w:r>
      <w:r w:rsidRPr="00B149C2">
        <w:rPr>
          <w:i/>
          <w:iCs/>
        </w:rPr>
        <w:t>Disability, Work and Inclusion: Mainstreaming in All Policies and Practices</w:t>
      </w:r>
      <w:r w:rsidRPr="00B149C2">
        <w:t>. https://www.oecd.org/en/publications/disability-work-and-inclusion_1eaa5e9c-en/full-report.html.</w:t>
      </w:r>
    </w:p>
    <w:p w14:paraId="3BCA3F78" w14:textId="77777777" w:rsidR="00B149C2" w:rsidRPr="00B149C2" w:rsidRDefault="00B149C2" w:rsidP="00B149C2">
      <w:pPr>
        <w:pStyle w:val="Bibliography"/>
      </w:pPr>
      <w:r w:rsidRPr="00B149C2">
        <w:t>OECD. 2023. “Teleworking, Workplace Policies and Trust.” OECD, March 8. https://www.oecd.org/en/publications/teleworking-workplace-policies-and-trust_64cd6e8e-en.html.</w:t>
      </w:r>
    </w:p>
    <w:p w14:paraId="58F1BB34" w14:textId="77777777" w:rsidR="00B149C2" w:rsidRPr="00B149C2" w:rsidRDefault="00B149C2" w:rsidP="00B149C2">
      <w:pPr>
        <w:pStyle w:val="Bibliography"/>
      </w:pPr>
      <w:r w:rsidRPr="00B149C2">
        <w:t xml:space="preserve">Stapleton, David C. 2003. </w:t>
      </w:r>
      <w:r w:rsidRPr="00B149C2">
        <w:rPr>
          <w:i/>
          <w:iCs/>
        </w:rPr>
        <w:t>The Decline in Employment of People with Disabilities: A Policy Puzzle</w:t>
      </w:r>
      <w:r w:rsidRPr="00B149C2">
        <w:t>. W.E. Upjohn Institute.</w:t>
      </w:r>
    </w:p>
    <w:p w14:paraId="243AAFE9" w14:textId="7EB55ECD" w:rsidR="00D635BE" w:rsidRDefault="00B149C2" w:rsidP="00474F57">
      <w:pPr>
        <w:pStyle w:val="Bibliography"/>
      </w:pPr>
      <w:r w:rsidRPr="00B149C2">
        <w:t xml:space="preserve">Stats NZ. 2025. </w:t>
      </w:r>
      <w:r w:rsidRPr="00B149C2">
        <w:rPr>
          <w:i/>
          <w:iCs/>
        </w:rPr>
        <w:t>Household Labour Force Survey</w:t>
      </w:r>
      <w:r w:rsidRPr="00B149C2">
        <w:t>.</w:t>
      </w:r>
      <w:r w:rsidR="00C01B81" w:rsidRPr="000E029E">
        <w:rPr>
          <w:sz w:val="24"/>
          <w:szCs w:val="24"/>
        </w:rPr>
        <w:fldChar w:fldCharType="end"/>
      </w:r>
    </w:p>
    <w:sectPr w:rsidR="00D635BE" w:rsidSect="00697268">
      <w:headerReference w:type="even" r:id="rId31"/>
      <w:headerReference w:type="default" r:id="rId32"/>
      <w:footerReference w:type="default" r:id="rId33"/>
      <w:headerReference w:type="first" r:id="rId34"/>
      <w:pgSz w:w="11907" w:h="16839" w:code="9"/>
      <w:pgMar w:top="1701" w:right="1418" w:bottom="1418" w:left="1418" w:header="851" w:footer="851"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E28FBC5" w14:textId="77777777" w:rsidR="00B7614A" w:rsidRPr="007F1F96" w:rsidRDefault="00B7614A" w:rsidP="00776D39">
      <w:pPr>
        <w:spacing w:after="0" w:line="240" w:lineRule="auto"/>
      </w:pPr>
      <w:r w:rsidRPr="007F1F96">
        <w:separator/>
      </w:r>
    </w:p>
  </w:endnote>
  <w:endnote w:type="continuationSeparator" w:id="0">
    <w:p w14:paraId="0326365C" w14:textId="77777777" w:rsidR="00B7614A" w:rsidRPr="007F1F96" w:rsidRDefault="00B7614A" w:rsidP="00776D39">
      <w:pPr>
        <w:spacing w:after="0" w:line="240" w:lineRule="auto"/>
      </w:pPr>
      <w:r w:rsidRPr="007F1F96">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ptos">
    <w:charset w:val="00"/>
    <w:family w:val="swiss"/>
    <w:pitch w:val="variable"/>
    <w:sig w:usb0="20000287" w:usb1="0000000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1153A2" w14:textId="77777777" w:rsidR="00DA670E" w:rsidRDefault="00DA670E">
    <w:pPr>
      <w:pStyle w:val="Footer"/>
    </w:pPr>
    <w:r>
      <w:rPr>
        <w:noProof/>
      </w:rPr>
      <w:drawing>
        <wp:anchor distT="0" distB="0" distL="114300" distR="114300" simplePos="0" relativeHeight="251658240" behindDoc="0" locked="0" layoutInCell="1" allowOverlap="0" wp14:anchorId="68BC461F" wp14:editId="19DAF0ED">
          <wp:simplePos x="0" y="0"/>
          <wp:positionH relativeFrom="margin">
            <wp:posOffset>5517515</wp:posOffset>
          </wp:positionH>
          <wp:positionV relativeFrom="paragraph">
            <wp:posOffset>-50800</wp:posOffset>
          </wp:positionV>
          <wp:extent cx="468000" cy="428400"/>
          <wp:effectExtent l="0" t="0" r="8255"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zier-logo-BLACK lines on transparent background.png"/>
                  <pic:cNvPicPr/>
                </pic:nvPicPr>
                <pic:blipFill rotWithShape="1">
                  <a:blip r:embed="rId1"/>
                  <a:srcRect l="1984" t="1720" r="57833" b="2406"/>
                  <a:stretch/>
                </pic:blipFill>
                <pic:spPr bwMode="auto">
                  <a:xfrm>
                    <a:off x="0" y="0"/>
                    <a:ext cx="468000" cy="428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fldChar w:fldCharType="begin"/>
    </w:r>
    <w:r>
      <w:instrText xml:space="preserve"> PAGE   \* MERGEFORMAT </w:instrText>
    </w:r>
    <w:r>
      <w:fldChar w:fldCharType="separate"/>
    </w:r>
    <w:r>
      <w:rPr>
        <w:noProof/>
      </w:rPr>
      <w:t>1</w:t>
    </w:r>
    <w:r>
      <w:rPr>
        <w:noProof/>
      </w:rPr>
      <w:fldChar w:fldCharType="end"/>
    </w:r>
  </w:p>
  <w:p w14:paraId="06C25974" w14:textId="77777777" w:rsidR="00DA670E" w:rsidRDefault="00DA670E"/>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8B8BF0" w14:textId="77777777" w:rsidR="00DA670E" w:rsidRDefault="00DA670E" w:rsidP="003F1668">
    <w:pPr>
      <w:pStyle w:val="Footer"/>
    </w:pPr>
  </w:p>
  <w:p w14:paraId="30842A1D" w14:textId="77777777" w:rsidR="00DA670E" w:rsidRPr="00C84B04" w:rsidRDefault="00DA670E" w:rsidP="00FC1A0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C5C4B8" w14:textId="1982F5C7" w:rsidR="00DA670E" w:rsidRDefault="00DA670E" w:rsidP="00881555">
    <w:pPr>
      <w:pStyle w:val="USSingleSpacedParagraph"/>
      <w:spacing w:after="120"/>
    </w:pPr>
  </w:p>
  <w:p w14:paraId="1B3FD1AB" w14:textId="77777777" w:rsidR="003963CF" w:rsidRDefault="003963CF" w:rsidP="003963CF">
    <w:pPr>
      <w:pStyle w:val="FooterInsidecover"/>
    </w:pPr>
    <w:r>
      <w:t xml:space="preserve">Registered office: Level 13, Public Trust Tower, 22–28 Willeston St Wellington </w:t>
    </w:r>
  </w:p>
  <w:p w14:paraId="7A5B464A" w14:textId="77777777" w:rsidR="003963CF" w:rsidRDefault="003963CF" w:rsidP="003963CF">
    <w:pPr>
      <w:pStyle w:val="FooterInsidecover"/>
    </w:pPr>
    <w:r>
      <w:t>Auckland office: Level 4, 70 Shortland St, Auckland</w:t>
    </w:r>
  </w:p>
  <w:p w14:paraId="334F8D00" w14:textId="77777777" w:rsidR="003963CF" w:rsidRDefault="003963CF" w:rsidP="003963CF">
    <w:pPr>
      <w:pStyle w:val="FooterInsidecover"/>
    </w:pPr>
    <w:r>
      <w:t>Postal address: PO Box 3479, Wellington 6140</w:t>
    </w:r>
  </w:p>
  <w:p w14:paraId="4534DA50" w14:textId="77777777" w:rsidR="00C80F57" w:rsidRDefault="00DA670E" w:rsidP="00C80F57">
    <w:pPr>
      <w:pStyle w:val="FooterInsidecover"/>
    </w:pPr>
    <w:r>
      <w:t xml:space="preserve">Tel </w:t>
    </w:r>
    <w:r w:rsidR="001A4E54">
      <w:t xml:space="preserve">0800 220 090 or </w:t>
    </w:r>
    <w:r>
      <w:t xml:space="preserve">+64 4 472 </w:t>
    </w:r>
    <w:r w:rsidRPr="00DE7FA6">
      <w:t xml:space="preserve">1880 | </w:t>
    </w:r>
    <w:hyperlink r:id="rId1" w:history="1">
      <w:r w:rsidRPr="00DE7FA6">
        <w:t>econ@nzier.org.nz</w:t>
      </w:r>
    </w:hyperlink>
    <w:r w:rsidR="00F337D4" w:rsidRPr="00DE7FA6">
      <w:t xml:space="preserve"> | </w:t>
    </w:r>
    <w:hyperlink r:id="rId2" w:history="1">
      <w:r w:rsidR="00F337D4" w:rsidRPr="00DE7FA6">
        <w:t>www.nzier.org.nz</w:t>
      </w:r>
    </w:hyperlink>
    <w:r w:rsidR="00F337D4">
      <w:t xml:space="preserve"> </w:t>
    </w:r>
  </w:p>
  <w:p w14:paraId="23C67EF7" w14:textId="77777777" w:rsidR="00C80F57" w:rsidRDefault="00C80F57" w:rsidP="00C80F57">
    <w:pPr>
      <w:pStyle w:val="FooterInsidecover"/>
    </w:pPr>
  </w:p>
  <w:p w14:paraId="190C8F44" w14:textId="17A804A2" w:rsidR="00C80F57" w:rsidRPr="00C80F57" w:rsidRDefault="00DA670E" w:rsidP="00C80F57">
    <w:pPr>
      <w:pStyle w:val="FooterInsidecover"/>
    </w:pPr>
    <w:r w:rsidRPr="00C80F57">
      <w:t xml:space="preserve">© NZ Institute of Economic Research (Inc). Cover image © </w:t>
    </w:r>
    <w:r w:rsidR="00C80F57" w:rsidRPr="00C80F57">
      <w:t xml:space="preserve">Photo by </w:t>
    </w:r>
    <w:hyperlink r:id="rId3" w:history="1">
      <w:r w:rsidR="00C80F57" w:rsidRPr="00C80F57">
        <w:t>Rollz International</w:t>
      </w:r>
    </w:hyperlink>
    <w:r w:rsidR="00C80F57" w:rsidRPr="00C80F57">
      <w:t xml:space="preserve"> on </w:t>
    </w:r>
    <w:hyperlink r:id="rId4" w:history="1">
      <w:r w:rsidR="00C80F57" w:rsidRPr="00C80F57">
        <w:t>Unsplash</w:t>
      </w:r>
    </w:hyperlink>
    <w:r w:rsidR="00C80F57" w:rsidRPr="00C80F57">
      <w:t xml:space="preserve"> </w:t>
    </w:r>
  </w:p>
  <w:p w14:paraId="0D2131BC" w14:textId="11E0E63E" w:rsidR="00DA670E" w:rsidRDefault="00DA670E" w:rsidP="00881555">
    <w:pPr>
      <w:pStyle w:val="FooterInsidecover"/>
    </w:pPr>
  </w:p>
  <w:p w14:paraId="4D7DA7D4" w14:textId="77777777" w:rsidR="00DA670E" w:rsidRDefault="00DA670E" w:rsidP="00881555">
    <w:pPr>
      <w:pStyle w:val="FooterInsidecover"/>
    </w:pPr>
    <w:r>
      <w:t xml:space="preserve">NZIER’s standard terms of engagement for contract research can </w:t>
    </w:r>
    <w:r w:rsidRPr="00DE7FA6">
      <w:t xml:space="preserve">be found at </w:t>
    </w:r>
    <w:hyperlink r:id="rId5" w:history="1">
      <w:r w:rsidRPr="00DE7FA6">
        <w:t>www.nzier.org.nz</w:t>
      </w:r>
    </w:hyperlink>
    <w:r w:rsidRPr="00DE7FA6">
      <w:t>.</w:t>
    </w:r>
  </w:p>
  <w:p w14:paraId="689C4223" w14:textId="77777777" w:rsidR="00DA670E" w:rsidRDefault="00DA670E" w:rsidP="00881555">
    <w:pPr>
      <w:pStyle w:val="FooterInsidecover"/>
    </w:pPr>
  </w:p>
  <w:p w14:paraId="4DA2158D" w14:textId="21B960E3" w:rsidR="00DA670E" w:rsidRDefault="00F337D4" w:rsidP="00881555">
    <w:pPr>
      <w:pStyle w:val="FooterInsidecover"/>
    </w:pPr>
    <w:r>
      <w:rPr>
        <w:snapToGrid w:val="0"/>
        <w:sz w:val="15"/>
        <w:szCs w:val="15"/>
        <w:lang w:val="en-GB"/>
      </w:rPr>
      <w:t>While NZIER will use all reasonable endeavours in undertaking contract research and producing reports to ensure the information is as accurate as practicable, the Institute, its contributors, employees, and Board shall not be liable (whether in contract, tort (including negligence), equity or on any other basis) for any loss or damage sustained by any person relying on such work whatever the cause of such loss or damage.</w:t>
    </w:r>
  </w:p>
  <w:p w14:paraId="5E219E15" w14:textId="77777777" w:rsidR="00DA670E" w:rsidRPr="00C84B04" w:rsidRDefault="00DA670E" w:rsidP="00183CB7">
    <w:pPr>
      <w:pStyle w:val="Footer"/>
    </w:pPr>
    <w:r w:rsidRPr="00C84B04">
      <w:rPr>
        <w:noProof/>
      </w:rPr>
      <w:drawing>
        <wp:anchor distT="0" distB="0" distL="114300" distR="114300" simplePos="0" relativeHeight="251658244" behindDoc="1" locked="0" layoutInCell="1" allowOverlap="0" wp14:anchorId="2D522773" wp14:editId="5A2DE740">
          <wp:simplePos x="0" y="0"/>
          <wp:positionH relativeFrom="rightMargin">
            <wp:posOffset>-180340</wp:posOffset>
          </wp:positionH>
          <wp:positionV relativeFrom="paragraph">
            <wp:posOffset>27940</wp:posOffset>
          </wp:positionV>
          <wp:extent cx="522000" cy="478800"/>
          <wp:effectExtent l="0" t="0" r="0" b="0"/>
          <wp:wrapNone/>
          <wp:docPr id="13410174" name="Picture 13410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zier-logo-BLACK lines on transparent background.png"/>
                  <pic:cNvPicPr/>
                </pic:nvPicPr>
                <pic:blipFill rotWithShape="1">
                  <a:blip r:embed="rId6"/>
                  <a:srcRect l="1984" t="1720" r="57833" b="2406"/>
                  <a:stretch/>
                </pic:blipFill>
                <pic:spPr bwMode="auto">
                  <a:xfrm>
                    <a:off x="0" y="0"/>
                    <a:ext cx="522000" cy="478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85DECC" w14:textId="0F05C9CF" w:rsidR="00DA670E" w:rsidRPr="00C84B04" w:rsidRDefault="00DA670E" w:rsidP="00FC1A04">
    <w:pPr>
      <w:pStyle w:val="Footer"/>
    </w:pPr>
    <w:r w:rsidRPr="00C84B04">
      <w:rPr>
        <w:noProof/>
      </w:rPr>
      <w:drawing>
        <wp:anchor distT="0" distB="0" distL="114300" distR="114300" simplePos="0" relativeHeight="251658243" behindDoc="1" locked="0" layoutInCell="1" allowOverlap="0" wp14:anchorId="4133E24E" wp14:editId="403D6066">
          <wp:simplePos x="0" y="0"/>
          <wp:positionH relativeFrom="rightMargin">
            <wp:posOffset>-180340</wp:posOffset>
          </wp:positionH>
          <wp:positionV relativeFrom="paragraph">
            <wp:posOffset>27940</wp:posOffset>
          </wp:positionV>
          <wp:extent cx="522000" cy="47880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zier-logo-BLACK lines on transparent background.png"/>
                  <pic:cNvPicPr/>
                </pic:nvPicPr>
                <pic:blipFill rotWithShape="1">
                  <a:blip r:embed="rId1"/>
                  <a:srcRect l="1984" t="1720" r="57833" b="2406"/>
                  <a:stretch/>
                </pic:blipFill>
                <pic:spPr bwMode="auto">
                  <a:xfrm>
                    <a:off x="0" y="0"/>
                    <a:ext cx="522000" cy="478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84B04">
      <w:fldChar w:fldCharType="begin"/>
    </w:r>
    <w:r w:rsidRPr="00C84B04">
      <w:instrText xml:space="preserve"> PAGE   \* MERGEFORMAT </w:instrText>
    </w:r>
    <w:r w:rsidRPr="00C84B04">
      <w:fldChar w:fldCharType="separate"/>
    </w:r>
    <w:r w:rsidRPr="00C84B04">
      <w:t>2</w:t>
    </w:r>
    <w:r w:rsidRPr="00C84B04">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AEF3DE" w14:textId="77777777" w:rsidR="00DA670E" w:rsidRPr="00C84B04" w:rsidRDefault="00DA670E" w:rsidP="00FC1A04">
    <w:pPr>
      <w:pStyle w:val="Footer"/>
    </w:pPr>
    <w:r w:rsidRPr="00C84B04">
      <w:rPr>
        <w:noProof/>
      </w:rPr>
      <w:drawing>
        <wp:anchor distT="0" distB="0" distL="114300" distR="114300" simplePos="0" relativeHeight="251658241" behindDoc="1" locked="0" layoutInCell="1" allowOverlap="0" wp14:anchorId="3330199E" wp14:editId="02E38C24">
          <wp:simplePos x="0" y="0"/>
          <wp:positionH relativeFrom="rightMargin">
            <wp:posOffset>-85090</wp:posOffset>
          </wp:positionH>
          <wp:positionV relativeFrom="paragraph">
            <wp:posOffset>8890</wp:posOffset>
          </wp:positionV>
          <wp:extent cx="522000" cy="47880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zier-logo-BLACK lines on transparent background.png"/>
                  <pic:cNvPicPr/>
                </pic:nvPicPr>
                <pic:blipFill rotWithShape="1">
                  <a:blip r:embed="rId1"/>
                  <a:srcRect l="1984" t="1720" r="57833" b="2406"/>
                  <a:stretch/>
                </pic:blipFill>
                <pic:spPr bwMode="auto">
                  <a:xfrm>
                    <a:off x="0" y="0"/>
                    <a:ext cx="522000" cy="478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84B04">
      <w:fldChar w:fldCharType="begin"/>
    </w:r>
    <w:r w:rsidRPr="00C84B04">
      <w:instrText xml:space="preserve"> PAGE   \* MERGEFORMAT </w:instrText>
    </w:r>
    <w:r w:rsidRPr="00C84B04">
      <w:fldChar w:fldCharType="separate"/>
    </w:r>
    <w:r w:rsidRPr="00C84B04">
      <w:t>2</w:t>
    </w:r>
    <w:r w:rsidRPr="00C84B04">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DEBE736" w14:textId="77777777" w:rsidR="00B7614A" w:rsidRPr="00246B84" w:rsidRDefault="00B7614A" w:rsidP="00246B84">
      <w:pPr>
        <w:pStyle w:val="Footer"/>
      </w:pPr>
    </w:p>
  </w:footnote>
  <w:footnote w:type="continuationSeparator" w:id="0">
    <w:p w14:paraId="0B3E08F8" w14:textId="77777777" w:rsidR="00B7614A" w:rsidRPr="00246B84" w:rsidRDefault="00B7614A" w:rsidP="00246B84">
      <w:pPr>
        <w:pStyle w:val="Footer"/>
      </w:pPr>
    </w:p>
  </w:footnote>
  <w:footnote w:type="continuationNotice" w:id="1">
    <w:p w14:paraId="7A038B35" w14:textId="77777777" w:rsidR="00B7614A" w:rsidRPr="00246B84" w:rsidRDefault="00B7614A" w:rsidP="00246B84">
      <w:pPr>
        <w:pStyle w:val="Foote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5E8260" w14:textId="0B3E02E3" w:rsidR="00B46A8F" w:rsidRDefault="007B0D5F">
    <w:pPr>
      <w:pStyle w:val="Header"/>
    </w:pPr>
    <w:r>
      <w:rPr>
        <w:noProof/>
      </w:rPr>
      <mc:AlternateContent>
        <mc:Choice Requires="wps">
          <w:drawing>
            <wp:anchor distT="0" distB="0" distL="0" distR="0" simplePos="0" relativeHeight="251658254" behindDoc="0" locked="0" layoutInCell="1" allowOverlap="1" wp14:anchorId="65016EA4" wp14:editId="6F9EACFC">
              <wp:simplePos x="635" y="635"/>
              <wp:positionH relativeFrom="page">
                <wp:align>center</wp:align>
              </wp:positionH>
              <wp:positionV relativeFrom="page">
                <wp:align>top</wp:align>
              </wp:positionV>
              <wp:extent cx="443865" cy="443865"/>
              <wp:effectExtent l="0" t="0" r="8890" b="12700"/>
              <wp:wrapNone/>
              <wp:docPr id="1556986763" name="Text Box 2" descr="IN-CONFIDENC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4BDF464" w14:textId="56555E4B" w:rsidR="007B0D5F" w:rsidRPr="007B0D5F" w:rsidRDefault="007B0D5F" w:rsidP="007B0D5F">
                          <w:pPr>
                            <w:spacing w:after="0"/>
                            <w:rPr>
                              <w:rFonts w:eastAsia="Calibri" w:cs="Calibri"/>
                              <w:noProof/>
                              <w:color w:val="000000"/>
                              <w:sz w:val="20"/>
                              <w:szCs w:val="20"/>
                            </w:rPr>
                          </w:pPr>
                          <w:r w:rsidRPr="007B0D5F">
                            <w:rPr>
                              <w:rFonts w:eastAsia="Calibri" w:cs="Calibri"/>
                              <w:noProof/>
                              <w:color w:val="000000"/>
                              <w:sz w:val="20"/>
                              <w:szCs w:val="20"/>
                            </w:rPr>
                            <w:t>IN-CONFIDENCE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5016EA4" id="_x0000_t202" coordsize="21600,21600" o:spt="202" path="m,l,21600r21600,l21600,xe">
              <v:stroke joinstyle="miter"/>
              <v:path gradientshapeok="t" o:connecttype="rect"/>
            </v:shapetype>
            <v:shape id="Text Box 2" o:spid="_x0000_s1026" type="#_x0000_t202" alt="IN-CONFIDENCE" style="position:absolute;left:0;text-align:left;margin-left:0;margin-top:0;width:34.95pt;height:34.95pt;z-index:25165825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" filled="f" stroked="f">
              <v:textbox style="mso-fit-shape-to-text:t" inset="0,15pt,0,0">
                <w:txbxContent>
                  <w:p w14:paraId="14BDF464" w14:textId="56555E4B" w:rsidR="007B0D5F" w:rsidRPr="007B0D5F" w:rsidRDefault="007B0D5F" w:rsidP="007B0D5F">
                    <w:pPr>
                      <w:spacing w:after="0"/>
                      <w:rPr>
                        <w:rFonts w:eastAsia="Calibri" w:cs="Calibri"/>
                        <w:noProof/>
                        <w:color w:val="000000"/>
                        <w:sz w:val="20"/>
                        <w:szCs w:val="20"/>
                      </w:rPr>
                    </w:pPr>
                    <w:r w:rsidRPr="007B0D5F">
                      <w:rPr>
                        <w:rFonts w:eastAsia="Calibri" w:cs="Calibri"/>
                        <w:noProof/>
                        <w:color w:val="000000"/>
                        <w:sz w:val="20"/>
                        <w:szCs w:val="20"/>
                      </w:rPr>
                      <w:t>IN-CONFIDENCE</w:t>
                    </w:r>
                  </w:p>
                </w:txbxContent>
              </v:textbox>
              <w10:wrap anchorx="page" anchory="page"/>
            </v:shape>
          </w:pict>
        </mc:Fallback>
      </mc:AlternateContent>
    </w:r>
    <w:r w:rsidR="00000000">
      <w:rPr>
        <w:noProof/>
      </w:rPr>
      <w:pict w14:anchorId="7038E84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5486829" o:spid="_x0000_s1040" type="#_x0000_t136" style="position:absolute;left:0;text-align:left;margin-left:-95.25pt;margin-top:297.1pt;width:135.5pt;height:81.35pt;rotation:270;z-index:-251658235;mso-position-horizontal-relative:margin;mso-position-vertical-relative:margin" o:allowincell="f" fillcolor="silver" stroked="f">
          <v:fill opacity=".5"/>
          <v:textpath style="font-family:&quot;Calibri&quot;;font-size:1pt" string="DRAFT"/>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7042F5" w14:textId="1D03B605" w:rsidR="007C21B3" w:rsidRDefault="007B0D5F">
    <w:pPr>
      <w:pStyle w:val="Header"/>
    </w:pPr>
    <w:r>
      <w:rPr>
        <w:noProof/>
      </w:rPr>
      <mc:AlternateContent>
        <mc:Choice Requires="wps">
          <w:drawing>
            <wp:anchor distT="0" distB="0" distL="0" distR="0" simplePos="0" relativeHeight="251658261" behindDoc="0" locked="0" layoutInCell="1" allowOverlap="1" wp14:anchorId="326A9F88" wp14:editId="2BE722C4">
              <wp:simplePos x="635" y="635"/>
              <wp:positionH relativeFrom="page">
                <wp:align>center</wp:align>
              </wp:positionH>
              <wp:positionV relativeFrom="page">
                <wp:align>top</wp:align>
              </wp:positionV>
              <wp:extent cx="443865" cy="443865"/>
              <wp:effectExtent l="0" t="0" r="8890" b="12700"/>
              <wp:wrapNone/>
              <wp:docPr id="1893057847" name="Text Box 11" descr="IN-CONFIDENC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B393097" w14:textId="6C09F209" w:rsidR="007B0D5F" w:rsidRPr="007B0D5F" w:rsidRDefault="007B0D5F" w:rsidP="007B0D5F">
                          <w:pPr>
                            <w:spacing w:after="0"/>
                            <w:rPr>
                              <w:rFonts w:eastAsia="Calibri" w:cs="Calibri"/>
                              <w:noProof/>
                              <w:color w:val="000000"/>
                              <w:sz w:val="20"/>
                              <w:szCs w:val="20"/>
                            </w:rPr>
                          </w:pPr>
                          <w:r w:rsidRPr="007B0D5F">
                            <w:rPr>
                              <w:rFonts w:eastAsia="Calibri" w:cs="Calibri"/>
                              <w:noProof/>
                              <w:color w:val="000000"/>
                              <w:sz w:val="20"/>
                              <w:szCs w:val="20"/>
                            </w:rPr>
                            <w:t>IN-CONFIDENCE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26A9F88" id="_x0000_t202" coordsize="21600,21600" o:spt="202" path="m,l,21600r21600,l21600,xe">
              <v:stroke joinstyle="miter"/>
              <v:path gradientshapeok="t" o:connecttype="rect"/>
            </v:shapetype>
            <v:shape id="Text Box 11" o:spid="_x0000_s1033" type="#_x0000_t202" alt="IN-CONFIDENCE" style="position:absolute;left:0;text-align:left;margin-left:0;margin-top:0;width:34.95pt;height:34.95pt;z-index:25165826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" filled="f" stroked="f">
              <v:textbox style="mso-fit-shape-to-text:t" inset="0,15pt,0,0">
                <w:txbxContent>
                  <w:p w14:paraId="4B393097" w14:textId="6C09F209" w:rsidR="007B0D5F" w:rsidRPr="007B0D5F" w:rsidRDefault="007B0D5F" w:rsidP="007B0D5F">
                    <w:pPr>
                      <w:spacing w:after="0"/>
                      <w:rPr>
                        <w:rFonts w:eastAsia="Calibri" w:cs="Calibri"/>
                        <w:noProof/>
                        <w:color w:val="000000"/>
                        <w:sz w:val="20"/>
                        <w:szCs w:val="20"/>
                      </w:rPr>
                    </w:pPr>
                    <w:r w:rsidRPr="007B0D5F">
                      <w:rPr>
                        <w:rFonts w:eastAsia="Calibri" w:cs="Calibri"/>
                        <w:noProof/>
                        <w:color w:val="000000"/>
                        <w:sz w:val="20"/>
                        <w:szCs w:val="20"/>
                      </w:rPr>
                      <w:t>IN-CONFIDENCE</w:t>
                    </w:r>
                  </w:p>
                </w:txbxContent>
              </v:textbox>
              <w10:wrap anchorx="page" anchory="page"/>
            </v:shape>
          </w:pict>
        </mc:Fallback>
      </mc:AlternateContent>
    </w:r>
    <w:r w:rsidR="00000000">
      <w:rPr>
        <w:noProof/>
      </w:rPr>
      <w:pict w14:anchorId="2E5AB4E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5486838" o:spid="_x0000_s1049" type="#_x0000_t136" style="position:absolute;left:0;text-align:left;margin-left:-95.25pt;margin-top:297.1pt;width:135.5pt;height:81.3pt;rotation:270;z-index:-251658228;mso-position-horizontal-relative:margin;mso-position-vertical-relative:margin" o:allowincell="f" fillcolor="silver" stroked="f">
          <v:fill opacity=".5"/>
          <v:textpath style="font-family:&quot;Calibri&quot;;font-size:1pt" string="DRAFT"/>
          <o:lock v:ext="edit" aspectratio="t"/>
          <w10:wrap anchorx="margin" anchory="margin"/>
        </v:shape>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F514B8" w14:textId="34DF7FC4" w:rsidR="007C21B3" w:rsidRDefault="007C21B3">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104220" w14:textId="6AB38644" w:rsidR="007C21B3" w:rsidRDefault="007B0D5F">
    <w:pPr>
      <w:pStyle w:val="Header"/>
    </w:pPr>
    <w:r>
      <w:rPr>
        <w:noProof/>
      </w:rPr>
      <mc:AlternateContent>
        <mc:Choice Requires="wps">
          <w:drawing>
            <wp:anchor distT="0" distB="0" distL="0" distR="0" simplePos="0" relativeHeight="251658260" behindDoc="0" locked="0" layoutInCell="1" allowOverlap="1" wp14:anchorId="0432C7FB" wp14:editId="2709465C">
              <wp:simplePos x="635" y="635"/>
              <wp:positionH relativeFrom="page">
                <wp:align>center</wp:align>
              </wp:positionH>
              <wp:positionV relativeFrom="page">
                <wp:align>top</wp:align>
              </wp:positionV>
              <wp:extent cx="443865" cy="443865"/>
              <wp:effectExtent l="0" t="0" r="8890" b="12700"/>
              <wp:wrapNone/>
              <wp:docPr id="547911870" name="Text Box 10" descr="IN-CONFIDENC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150F816" w14:textId="2A4A3331" w:rsidR="007B0D5F" w:rsidRPr="007B0D5F" w:rsidRDefault="007B0D5F" w:rsidP="007B0D5F">
                          <w:pPr>
                            <w:spacing w:after="0"/>
                            <w:rPr>
                              <w:rFonts w:eastAsia="Calibri" w:cs="Calibri"/>
                              <w:noProof/>
                              <w:color w:val="000000"/>
                              <w:sz w:val="20"/>
                              <w:szCs w:val="20"/>
                            </w:rPr>
                          </w:pPr>
                          <w:r w:rsidRPr="007B0D5F">
                            <w:rPr>
                              <w:rFonts w:eastAsia="Calibri" w:cs="Calibri"/>
                              <w:noProof/>
                              <w:color w:val="000000"/>
                              <w:sz w:val="20"/>
                              <w:szCs w:val="20"/>
                            </w:rPr>
                            <w:t>IN-CONFIDENCE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432C7FB" id="_x0000_t202" coordsize="21600,21600" o:spt="202" path="m,l,21600r21600,l21600,xe">
              <v:stroke joinstyle="miter"/>
              <v:path gradientshapeok="t" o:connecttype="rect"/>
            </v:shapetype>
            <v:shape id="Text Box 10" o:spid="_x0000_s1034" type="#_x0000_t202" alt="IN-CONFIDENCE" style="position:absolute;left:0;text-align:left;margin-left:0;margin-top:0;width:34.95pt;height:34.95pt;z-index:25165826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DVmb7lCgIAABwEAAAOAAAA&#10;AAAAAAAAAAAAAC4CAABkcnMvZTJvRG9jLnhtbFBLAQItABQABgAIAAAAIQDUHg1H2AAAAAMBAAAP&#10;AAAAAAAAAAAAAAAAAGQEAABkcnMvZG93bnJldi54bWxQSwUGAAAAAAQABADzAAAAaQUAAAAA&#10;" filled="f" stroked="f">
              <v:textbox style="mso-fit-shape-to-text:t" inset="0,15pt,0,0">
                <w:txbxContent>
                  <w:p w14:paraId="5150F816" w14:textId="2A4A3331" w:rsidR="007B0D5F" w:rsidRPr="007B0D5F" w:rsidRDefault="007B0D5F" w:rsidP="007B0D5F">
                    <w:pPr>
                      <w:spacing w:after="0"/>
                      <w:rPr>
                        <w:rFonts w:eastAsia="Calibri" w:cs="Calibri"/>
                        <w:noProof/>
                        <w:color w:val="000000"/>
                        <w:sz w:val="20"/>
                        <w:szCs w:val="20"/>
                      </w:rPr>
                    </w:pPr>
                    <w:r w:rsidRPr="007B0D5F">
                      <w:rPr>
                        <w:rFonts w:eastAsia="Calibri" w:cs="Calibri"/>
                        <w:noProof/>
                        <w:color w:val="000000"/>
                        <w:sz w:val="20"/>
                        <w:szCs w:val="20"/>
                      </w:rPr>
                      <w:t>IN-CONFIDENCE</w:t>
                    </w:r>
                  </w:p>
                </w:txbxContent>
              </v:textbox>
              <w10:wrap anchorx="page" anchory="page"/>
            </v:shape>
          </w:pict>
        </mc:Fallback>
      </mc:AlternateContent>
    </w:r>
    <w:r w:rsidR="00000000">
      <w:rPr>
        <w:noProof/>
      </w:rPr>
      <w:pict w14:anchorId="2396510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5486837" o:spid="_x0000_s1048" type="#_x0000_t136" style="position:absolute;left:0;text-align:left;margin-left:0;margin-top:0;width:399.65pt;height:239.8pt;rotation:315;z-index:-251658229;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69F645" w14:textId="1FD5F4AD" w:rsidR="00DA670E" w:rsidRDefault="007B0D5F">
    <w:pPr>
      <w:pStyle w:val="Header"/>
    </w:pPr>
    <w:r>
      <w:rPr>
        <w:noProof/>
      </w:rPr>
      <mc:AlternateContent>
        <mc:Choice Requires="wps">
          <w:drawing>
            <wp:anchor distT="0" distB="0" distL="0" distR="0" simplePos="0" relativeHeight="251658255" behindDoc="0" locked="0" layoutInCell="1" allowOverlap="1" wp14:anchorId="6E1862D1" wp14:editId="5EBC610C">
              <wp:simplePos x="635" y="635"/>
              <wp:positionH relativeFrom="page">
                <wp:align>center</wp:align>
              </wp:positionH>
              <wp:positionV relativeFrom="page">
                <wp:align>top</wp:align>
              </wp:positionV>
              <wp:extent cx="443865" cy="443865"/>
              <wp:effectExtent l="0" t="0" r="8890" b="12700"/>
              <wp:wrapNone/>
              <wp:docPr id="1402306059" name="Text Box 3" descr="IN-CONFIDENC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4C6CB9E" w14:textId="397E4C88" w:rsidR="007B0D5F" w:rsidRPr="007B0D5F" w:rsidRDefault="007B0D5F" w:rsidP="007B0D5F">
                          <w:pPr>
                            <w:spacing w:after="0"/>
                            <w:rPr>
                              <w:rFonts w:eastAsia="Calibri" w:cs="Calibri"/>
                              <w:noProof/>
                              <w:color w:val="000000"/>
                              <w:sz w:val="20"/>
                              <w:szCs w:val="20"/>
                            </w:rPr>
                          </w:pPr>
                          <w:r w:rsidRPr="007B0D5F">
                            <w:rPr>
                              <w:rFonts w:eastAsia="Calibri" w:cs="Calibri"/>
                              <w:noProof/>
                              <w:color w:val="000000"/>
                              <w:sz w:val="20"/>
                              <w:szCs w:val="20"/>
                            </w:rPr>
                            <w:t>IN-CONFIDENCE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E1862D1" id="_x0000_t202" coordsize="21600,21600" o:spt="202" path="m,l,21600r21600,l21600,xe">
              <v:stroke joinstyle="miter"/>
              <v:path gradientshapeok="t" o:connecttype="rect"/>
            </v:shapetype>
            <v:shape id="Text Box 3" o:spid="_x0000_s1027" type="#_x0000_t202" alt="IN-CONFIDENCE" style="position:absolute;left:0;text-align:left;margin-left:0;margin-top:0;width:34.95pt;height:34.95pt;z-index:251658255;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" filled="f" stroked="f">
              <v:textbox style="mso-fit-shape-to-text:t" inset="0,15pt,0,0">
                <w:txbxContent>
                  <w:p w14:paraId="64C6CB9E" w14:textId="397E4C88" w:rsidR="007B0D5F" w:rsidRPr="007B0D5F" w:rsidRDefault="007B0D5F" w:rsidP="007B0D5F">
                    <w:pPr>
                      <w:spacing w:after="0"/>
                      <w:rPr>
                        <w:rFonts w:eastAsia="Calibri" w:cs="Calibri"/>
                        <w:noProof/>
                        <w:color w:val="000000"/>
                        <w:sz w:val="20"/>
                        <w:szCs w:val="20"/>
                      </w:rPr>
                    </w:pPr>
                    <w:r w:rsidRPr="007B0D5F">
                      <w:rPr>
                        <w:rFonts w:eastAsia="Calibri" w:cs="Calibri"/>
                        <w:noProof/>
                        <w:color w:val="000000"/>
                        <w:sz w:val="20"/>
                        <w:szCs w:val="20"/>
                      </w:rPr>
                      <w:t>IN-CONFIDENCE</w:t>
                    </w:r>
                  </w:p>
                </w:txbxContent>
              </v:textbox>
              <w10:wrap anchorx="page" anchory="page"/>
            </v:shape>
          </w:pict>
        </mc:Fallback>
      </mc:AlternateContent>
    </w:r>
    <w:r w:rsidR="00000000">
      <w:rPr>
        <w:noProof/>
      </w:rPr>
      <w:pict w14:anchorId="2E4D89F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5486830" o:spid="_x0000_s1041" type="#_x0000_t136" style="position:absolute;left:0;text-align:left;margin-left:0;margin-top:0;width:399.65pt;height:239.8pt;rotation:315;z-index:-25165823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p w14:paraId="4B1966BE" w14:textId="77777777" w:rsidR="00DA670E" w:rsidRDefault="00DA670E"/>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D840B1" w14:textId="79DA0A9A" w:rsidR="00DA670E" w:rsidRDefault="007B0D5F">
    <w:pPr>
      <w:pStyle w:val="Header"/>
    </w:pPr>
    <w:r>
      <w:rPr>
        <w:noProof/>
      </w:rPr>
      <mc:AlternateContent>
        <mc:Choice Requires="wps">
          <w:drawing>
            <wp:anchor distT="0" distB="0" distL="0" distR="0" simplePos="0" relativeHeight="251658253" behindDoc="0" locked="0" layoutInCell="1" allowOverlap="1" wp14:anchorId="25006034" wp14:editId="0181698D">
              <wp:simplePos x="901065" y="541020"/>
              <wp:positionH relativeFrom="page">
                <wp:align>center</wp:align>
              </wp:positionH>
              <wp:positionV relativeFrom="page">
                <wp:align>top</wp:align>
              </wp:positionV>
              <wp:extent cx="443865" cy="443865"/>
              <wp:effectExtent l="0" t="0" r="8890" b="12700"/>
              <wp:wrapNone/>
              <wp:docPr id="660617159" name="Text Box 1" descr="IN-CONFIDENC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FAC5E60" w14:textId="5B428BFF" w:rsidR="007B0D5F" w:rsidRPr="007B0D5F" w:rsidRDefault="007B0D5F" w:rsidP="007B0D5F">
                          <w:pPr>
                            <w:spacing w:after="0"/>
                            <w:rPr>
                              <w:rFonts w:eastAsia="Calibri" w:cs="Calibri"/>
                              <w:noProof/>
                              <w:color w:val="000000"/>
                              <w:sz w:val="20"/>
                              <w:szCs w:val="20"/>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5006034" id="_x0000_t202" coordsize="21600,21600" o:spt="202" path="m,l,21600r21600,l21600,xe">
              <v:stroke joinstyle="miter"/>
              <v:path gradientshapeok="t" o:connecttype="rect"/>
            </v:shapetype>
            <v:shape id="Text Box 1" o:spid="_x0000_s1028" type="#_x0000_t202" alt="IN-CONFIDENCE" style="position:absolute;left:0;text-align:left;margin-left:0;margin-top:0;width:34.95pt;height:34.95pt;z-index:251658253;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AmGj+oCgIAABwEAAAOAAAA&#10;AAAAAAAAAAAAAC4CAABkcnMvZTJvRG9jLnhtbFBLAQItABQABgAIAAAAIQDUHg1H2AAAAAMBAAAP&#10;AAAAAAAAAAAAAAAAAGQEAABkcnMvZG93bnJldi54bWxQSwUGAAAAAAQABADzAAAAaQUAAAAA&#10;" filled="f" stroked="f">
              <v:textbox style="mso-fit-shape-to-text:t" inset="0,15pt,0,0">
                <w:txbxContent>
                  <w:p w14:paraId="7FAC5E60" w14:textId="5B428BFF" w:rsidR="007B0D5F" w:rsidRPr="007B0D5F" w:rsidRDefault="007B0D5F" w:rsidP="007B0D5F">
                    <w:pPr>
                      <w:spacing w:after="0"/>
                      <w:rPr>
                        <w:rFonts w:eastAsia="Calibri" w:cs="Calibri"/>
                        <w:noProof/>
                        <w:color w:val="000000"/>
                        <w:sz w:val="20"/>
                        <w:szCs w:val="20"/>
                      </w:rPr>
                    </w:pPr>
                  </w:p>
                </w:txbxContent>
              </v:textbox>
              <w10:wrap anchorx="page" anchory="page"/>
            </v:shape>
          </w:pict>
        </mc:Fallback>
      </mc:AlternateContent>
    </w:r>
    <w:r w:rsidR="00DA670E">
      <w:rPr>
        <w:noProof/>
        <w:lang w:eastAsia="en-NZ"/>
      </w:rPr>
      <w:drawing>
        <wp:anchor distT="0" distB="0" distL="114300" distR="114300" simplePos="0" relativeHeight="251658242" behindDoc="0" locked="0" layoutInCell="1" allowOverlap="1" wp14:anchorId="7F596985" wp14:editId="67C06AA7">
          <wp:simplePos x="0" y="0"/>
          <wp:positionH relativeFrom="margin">
            <wp:posOffset>3456305</wp:posOffset>
          </wp:positionH>
          <wp:positionV relativeFrom="page">
            <wp:posOffset>360045</wp:posOffset>
          </wp:positionV>
          <wp:extent cx="2826000" cy="1065600"/>
          <wp:effectExtent l="0" t="0" r="0" b="1270"/>
          <wp:wrapNone/>
          <wp:docPr id="23" name="Picture 23" descr="C:\Users\jessicam\AppData\Local\Temp\Rar$DR67.936\Logo files\Full colour\nzier-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essicam\AppData\Local\Temp\Rar$DR67.936\Logo files\Full colour\nzier-logo.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826000" cy="10656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6CA1E4" w14:textId="6DB63C30" w:rsidR="007C21B3" w:rsidRDefault="007B0D5F">
    <w:pPr>
      <w:pStyle w:val="Header"/>
    </w:pPr>
    <w:r>
      <w:rPr>
        <w:noProof/>
      </w:rPr>
      <mc:AlternateContent>
        <mc:Choice Requires="wps">
          <w:drawing>
            <wp:anchor distT="0" distB="0" distL="0" distR="0" simplePos="0" relativeHeight="251658257" behindDoc="0" locked="0" layoutInCell="1" allowOverlap="1" wp14:anchorId="032FDC3A" wp14:editId="6AA81A3B">
              <wp:simplePos x="635" y="635"/>
              <wp:positionH relativeFrom="page">
                <wp:align>center</wp:align>
              </wp:positionH>
              <wp:positionV relativeFrom="page">
                <wp:align>top</wp:align>
              </wp:positionV>
              <wp:extent cx="443865" cy="443865"/>
              <wp:effectExtent l="0" t="0" r="8890" b="12700"/>
              <wp:wrapNone/>
              <wp:docPr id="1968663517" name="Text Box 5" descr="IN-CONFIDENC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1C41643" w14:textId="6A96EF84" w:rsidR="007B0D5F" w:rsidRPr="007B0D5F" w:rsidRDefault="007B0D5F" w:rsidP="007B0D5F">
                          <w:pPr>
                            <w:spacing w:after="0"/>
                            <w:rPr>
                              <w:rFonts w:eastAsia="Calibri" w:cs="Calibri"/>
                              <w:noProof/>
                              <w:color w:val="000000"/>
                              <w:sz w:val="20"/>
                              <w:szCs w:val="20"/>
                            </w:rPr>
                          </w:pPr>
                          <w:r w:rsidRPr="007B0D5F">
                            <w:rPr>
                              <w:rFonts w:eastAsia="Calibri" w:cs="Calibri"/>
                              <w:noProof/>
                              <w:color w:val="000000"/>
                              <w:sz w:val="20"/>
                              <w:szCs w:val="20"/>
                            </w:rPr>
                            <w:t>IN-CONFIDENCE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32FDC3A" id="_x0000_t202" coordsize="21600,21600" o:spt="202" path="m,l,21600r21600,l21600,xe">
              <v:stroke joinstyle="miter"/>
              <v:path gradientshapeok="t" o:connecttype="rect"/>
            </v:shapetype>
            <v:shape id="Text Box 5" o:spid="_x0000_s1029" type="#_x0000_t202" alt="IN-CONFIDENCE" style="position:absolute;left:0;text-align:left;margin-left:0;margin-top:0;width:34.95pt;height:34.95pt;z-index:251658257;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BLpY2VCgIAABwEAAAOAAAA&#10;AAAAAAAAAAAAAC4CAABkcnMvZTJvRG9jLnhtbFBLAQItABQABgAIAAAAIQDUHg1H2AAAAAMBAAAP&#10;AAAAAAAAAAAAAAAAAGQEAABkcnMvZG93bnJldi54bWxQSwUGAAAAAAQABADzAAAAaQUAAAAA&#10;" filled="f" stroked="f">
              <v:textbox style="mso-fit-shape-to-text:t" inset="0,15pt,0,0">
                <w:txbxContent>
                  <w:p w14:paraId="51C41643" w14:textId="6A96EF84" w:rsidR="007B0D5F" w:rsidRPr="007B0D5F" w:rsidRDefault="007B0D5F" w:rsidP="007B0D5F">
                    <w:pPr>
                      <w:spacing w:after="0"/>
                      <w:rPr>
                        <w:rFonts w:eastAsia="Calibri" w:cs="Calibri"/>
                        <w:noProof/>
                        <w:color w:val="000000"/>
                        <w:sz w:val="20"/>
                        <w:szCs w:val="20"/>
                      </w:rPr>
                    </w:pPr>
                    <w:r w:rsidRPr="007B0D5F">
                      <w:rPr>
                        <w:rFonts w:eastAsia="Calibri" w:cs="Calibri"/>
                        <w:noProof/>
                        <w:color w:val="000000"/>
                        <w:sz w:val="20"/>
                        <w:szCs w:val="20"/>
                      </w:rPr>
                      <w:t>IN-CONFIDENCE</w:t>
                    </w:r>
                  </w:p>
                </w:txbxContent>
              </v:textbox>
              <w10:wrap anchorx="page" anchory="page"/>
            </v:shape>
          </w:pict>
        </mc:Fallback>
      </mc:AlternateContent>
    </w:r>
    <w:r w:rsidR="00000000">
      <w:rPr>
        <w:noProof/>
      </w:rPr>
      <w:pict w14:anchorId="6D42E51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5486832" o:spid="_x0000_s1043" type="#_x0000_t136" style="position:absolute;left:0;text-align:left;margin-left:-95.25pt;margin-top:297.1pt;width:135.5pt;height:81.3pt;rotation:270;z-index:-251658232;mso-position-horizontal-relative:margin;mso-position-vertical-relative:margin" o:allowincell="f" fillcolor="silver" stroked="f">
          <v:fill opacity=".5"/>
          <v:textpath style="font-family:&quot;Calibri&quot;;font-size:1pt" string="DRAFT"/>
          <o:lock v:ext="edit" aspectratio="t"/>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02C4DB" w14:textId="0628729D" w:rsidR="00DA670E" w:rsidRDefault="00DA670E">
    <w:pPr>
      <w:pStyle w:val="Header"/>
    </w:pPr>
  </w:p>
  <w:p w14:paraId="0446B0A5" w14:textId="77777777" w:rsidR="00DA670E" w:rsidRDefault="00DA670E"/>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13B577" w14:textId="71B52001" w:rsidR="007C21B3" w:rsidRDefault="007B0D5F">
    <w:pPr>
      <w:pStyle w:val="Header"/>
    </w:pPr>
    <w:r>
      <w:rPr>
        <w:noProof/>
      </w:rPr>
      <mc:AlternateContent>
        <mc:Choice Requires="wps">
          <w:drawing>
            <wp:anchor distT="0" distB="0" distL="0" distR="0" simplePos="0" relativeHeight="251658256" behindDoc="0" locked="0" layoutInCell="1" allowOverlap="1" wp14:anchorId="4C99C7C4" wp14:editId="635ABBE2">
              <wp:simplePos x="635" y="635"/>
              <wp:positionH relativeFrom="page">
                <wp:align>center</wp:align>
              </wp:positionH>
              <wp:positionV relativeFrom="page">
                <wp:align>top</wp:align>
              </wp:positionV>
              <wp:extent cx="443865" cy="443865"/>
              <wp:effectExtent l="0" t="0" r="8890" b="12700"/>
              <wp:wrapNone/>
              <wp:docPr id="1705432220" name="Text Box 4" descr="IN-CONFIDENC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0DDD192" w14:textId="28BD882F" w:rsidR="007B0D5F" w:rsidRPr="007B0D5F" w:rsidRDefault="007B0D5F" w:rsidP="007B0D5F">
                          <w:pPr>
                            <w:spacing w:after="0"/>
                            <w:rPr>
                              <w:rFonts w:eastAsia="Calibri" w:cs="Calibri"/>
                              <w:noProof/>
                              <w:color w:val="000000"/>
                              <w:sz w:val="20"/>
                              <w:szCs w:val="20"/>
                            </w:rPr>
                          </w:pPr>
                          <w:r w:rsidRPr="007B0D5F">
                            <w:rPr>
                              <w:rFonts w:eastAsia="Calibri" w:cs="Calibri"/>
                              <w:noProof/>
                              <w:color w:val="000000"/>
                              <w:sz w:val="20"/>
                              <w:szCs w:val="20"/>
                            </w:rPr>
                            <w:t>IN-CONFIDENCE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C99C7C4" id="_x0000_t202" coordsize="21600,21600" o:spt="202" path="m,l,21600r21600,l21600,xe">
              <v:stroke joinstyle="miter"/>
              <v:path gradientshapeok="t" o:connecttype="rect"/>
            </v:shapetype>
            <v:shape id="Text Box 4" o:spid="_x0000_s1030" type="#_x0000_t202" alt="IN-CONFIDENCE" style="position:absolute;left:0;text-align:left;margin-left:0;margin-top:0;width:34.95pt;height:34.95pt;z-index:25165825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BImZAlCgIAABwEAAAOAAAA&#10;AAAAAAAAAAAAAC4CAABkcnMvZTJvRG9jLnhtbFBLAQItABQABgAIAAAAIQDUHg1H2AAAAAMBAAAP&#10;AAAAAAAAAAAAAAAAAGQEAABkcnMvZG93bnJldi54bWxQSwUGAAAAAAQABADzAAAAaQUAAAAA&#10;" filled="f" stroked="f">
              <v:textbox style="mso-fit-shape-to-text:t" inset="0,15pt,0,0">
                <w:txbxContent>
                  <w:p w14:paraId="10DDD192" w14:textId="28BD882F" w:rsidR="007B0D5F" w:rsidRPr="007B0D5F" w:rsidRDefault="007B0D5F" w:rsidP="007B0D5F">
                    <w:pPr>
                      <w:spacing w:after="0"/>
                      <w:rPr>
                        <w:rFonts w:eastAsia="Calibri" w:cs="Calibri"/>
                        <w:noProof/>
                        <w:color w:val="000000"/>
                        <w:sz w:val="20"/>
                        <w:szCs w:val="20"/>
                      </w:rPr>
                    </w:pPr>
                    <w:r w:rsidRPr="007B0D5F">
                      <w:rPr>
                        <w:rFonts w:eastAsia="Calibri" w:cs="Calibri"/>
                        <w:noProof/>
                        <w:color w:val="000000"/>
                        <w:sz w:val="20"/>
                        <w:szCs w:val="20"/>
                      </w:rPr>
                      <w:t>IN-CONFIDENCE</w:t>
                    </w:r>
                  </w:p>
                </w:txbxContent>
              </v:textbox>
              <w10:wrap anchorx="page" anchory="page"/>
            </v:shape>
          </w:pict>
        </mc:Fallback>
      </mc:AlternateContent>
    </w:r>
    <w:r w:rsidR="00000000">
      <w:rPr>
        <w:noProof/>
      </w:rPr>
      <w:pict w14:anchorId="31751B0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5486831" o:spid="_x0000_s1042" type="#_x0000_t136" style="position:absolute;left:0;text-align:left;margin-left:0;margin-top:0;width:399.65pt;height:239.8pt;rotation:315;z-index:-251658233;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8A2353" w14:textId="6DF5169B" w:rsidR="007C21B3" w:rsidRDefault="007B0D5F">
    <w:pPr>
      <w:pStyle w:val="Header"/>
    </w:pPr>
    <w:r>
      <w:rPr>
        <w:noProof/>
      </w:rPr>
      <mc:AlternateContent>
        <mc:Choice Requires="wps">
          <w:drawing>
            <wp:anchor distT="0" distB="0" distL="0" distR="0" simplePos="0" relativeHeight="251658259" behindDoc="0" locked="0" layoutInCell="1" allowOverlap="1" wp14:anchorId="6E713596" wp14:editId="5099DBC7">
              <wp:simplePos x="635" y="635"/>
              <wp:positionH relativeFrom="page">
                <wp:align>center</wp:align>
              </wp:positionH>
              <wp:positionV relativeFrom="page">
                <wp:align>top</wp:align>
              </wp:positionV>
              <wp:extent cx="443865" cy="443865"/>
              <wp:effectExtent l="0" t="0" r="8890" b="12700"/>
              <wp:wrapNone/>
              <wp:docPr id="1922429157" name="Text Box 8" descr="IN-CONFIDENC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9E55620" w14:textId="5E25C125" w:rsidR="007B0D5F" w:rsidRPr="007B0D5F" w:rsidRDefault="007B0D5F" w:rsidP="007B0D5F">
                          <w:pPr>
                            <w:spacing w:after="0"/>
                            <w:rPr>
                              <w:rFonts w:eastAsia="Calibri" w:cs="Calibri"/>
                              <w:noProof/>
                              <w:color w:val="000000"/>
                              <w:sz w:val="20"/>
                              <w:szCs w:val="20"/>
                            </w:rPr>
                          </w:pPr>
                          <w:r w:rsidRPr="007B0D5F">
                            <w:rPr>
                              <w:rFonts w:eastAsia="Calibri" w:cs="Calibri"/>
                              <w:noProof/>
                              <w:color w:val="000000"/>
                              <w:sz w:val="20"/>
                              <w:szCs w:val="20"/>
                            </w:rPr>
                            <w:t>IN-CONFIDENCE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E713596" id="_x0000_t202" coordsize="21600,21600" o:spt="202" path="m,l,21600r21600,l21600,xe">
              <v:stroke joinstyle="miter"/>
              <v:path gradientshapeok="t" o:connecttype="rect"/>
            </v:shapetype>
            <v:shape id="Text Box 8" o:spid="_x0000_s1031" type="#_x0000_t202" alt="IN-CONFIDENCE" style="position:absolute;left:0;text-align:left;margin-left:0;margin-top:0;width:34.95pt;height:34.95pt;z-index:251658259;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AlJiIYCgIAABwEAAAOAAAA&#10;AAAAAAAAAAAAAC4CAABkcnMvZTJvRG9jLnhtbFBLAQItABQABgAIAAAAIQDUHg1H2AAAAAMBAAAP&#10;AAAAAAAAAAAAAAAAAGQEAABkcnMvZG93bnJldi54bWxQSwUGAAAAAAQABADzAAAAaQUAAAAA&#10;" filled="f" stroked="f">
              <v:textbox style="mso-fit-shape-to-text:t" inset="0,15pt,0,0">
                <w:txbxContent>
                  <w:p w14:paraId="29E55620" w14:textId="5E25C125" w:rsidR="007B0D5F" w:rsidRPr="007B0D5F" w:rsidRDefault="007B0D5F" w:rsidP="007B0D5F">
                    <w:pPr>
                      <w:spacing w:after="0"/>
                      <w:rPr>
                        <w:rFonts w:eastAsia="Calibri" w:cs="Calibri"/>
                        <w:noProof/>
                        <w:color w:val="000000"/>
                        <w:sz w:val="20"/>
                        <w:szCs w:val="20"/>
                      </w:rPr>
                    </w:pPr>
                    <w:r w:rsidRPr="007B0D5F">
                      <w:rPr>
                        <w:rFonts w:eastAsia="Calibri" w:cs="Calibri"/>
                        <w:noProof/>
                        <w:color w:val="000000"/>
                        <w:sz w:val="20"/>
                        <w:szCs w:val="20"/>
                      </w:rPr>
                      <w:t>IN-CONFIDENCE</w:t>
                    </w:r>
                  </w:p>
                </w:txbxContent>
              </v:textbox>
              <w10:wrap anchorx="page" anchory="page"/>
            </v:shape>
          </w:pict>
        </mc:Fallback>
      </mc:AlternateContent>
    </w:r>
    <w:r w:rsidR="00000000">
      <w:rPr>
        <w:noProof/>
      </w:rPr>
      <w:pict w14:anchorId="47CF050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5486835" o:spid="_x0000_s1046" type="#_x0000_t136" style="position:absolute;left:0;text-align:left;margin-left:-95.25pt;margin-top:297.1pt;width:135.5pt;height:81.3pt;rotation:270;z-index:-251658230;mso-position-horizontal-relative:margin;mso-position-vertical-relative:margin" o:allowincell="f" fillcolor="silver" stroked="f">
          <v:fill opacity=".5"/>
          <v:textpath style="font-family:&quot;Calibri&quot;;font-size:1pt" string="DRAFT"/>
          <o:lock v:ext="edit" aspectratio="t"/>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CD107B" w14:textId="5E53C7B3" w:rsidR="00DA670E" w:rsidRPr="001E757F" w:rsidRDefault="00DA670E" w:rsidP="001E757F">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563E2F" w14:textId="780B358B" w:rsidR="007C21B3" w:rsidRDefault="007B0D5F">
    <w:pPr>
      <w:pStyle w:val="Header"/>
    </w:pPr>
    <w:r>
      <w:rPr>
        <w:noProof/>
      </w:rPr>
      <mc:AlternateContent>
        <mc:Choice Requires="wps">
          <w:drawing>
            <wp:anchor distT="0" distB="0" distL="0" distR="0" simplePos="0" relativeHeight="251658258" behindDoc="0" locked="0" layoutInCell="1" allowOverlap="1" wp14:anchorId="61121BB1" wp14:editId="148E8370">
              <wp:simplePos x="635" y="635"/>
              <wp:positionH relativeFrom="page">
                <wp:align>center</wp:align>
              </wp:positionH>
              <wp:positionV relativeFrom="page">
                <wp:align>top</wp:align>
              </wp:positionV>
              <wp:extent cx="443865" cy="443865"/>
              <wp:effectExtent l="0" t="0" r="8890" b="12700"/>
              <wp:wrapNone/>
              <wp:docPr id="1322987383" name="Text Box 7" descr="IN-CONFIDENC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923FA36" w14:textId="1442A88F" w:rsidR="007B0D5F" w:rsidRPr="007B0D5F" w:rsidRDefault="007B0D5F" w:rsidP="007B0D5F">
                          <w:pPr>
                            <w:spacing w:after="0"/>
                            <w:rPr>
                              <w:rFonts w:eastAsia="Calibri" w:cs="Calibri"/>
                              <w:noProof/>
                              <w:color w:val="000000"/>
                              <w:sz w:val="20"/>
                              <w:szCs w:val="20"/>
                            </w:rPr>
                          </w:pPr>
                          <w:r w:rsidRPr="007B0D5F">
                            <w:rPr>
                              <w:rFonts w:eastAsia="Calibri" w:cs="Calibri"/>
                              <w:noProof/>
                              <w:color w:val="000000"/>
                              <w:sz w:val="20"/>
                              <w:szCs w:val="20"/>
                            </w:rPr>
                            <w:t>IN-CONFIDENCE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1121BB1" id="_x0000_t202" coordsize="21600,21600" o:spt="202" path="m,l,21600r21600,l21600,xe">
              <v:stroke joinstyle="miter"/>
              <v:path gradientshapeok="t" o:connecttype="rect"/>
            </v:shapetype>
            <v:shape id="Text Box 7" o:spid="_x0000_s1032" type="#_x0000_t202" alt="IN-CONFIDENCE" style="position:absolute;left:0;text-align:left;margin-left:0;margin-top:0;width:34.95pt;height:34.95pt;z-index:25165825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CS5/VeCgIAABwEAAAOAAAA&#10;AAAAAAAAAAAAAC4CAABkcnMvZTJvRG9jLnhtbFBLAQItABQABgAIAAAAIQDUHg1H2AAAAAMBAAAP&#10;AAAAAAAAAAAAAAAAAGQEAABkcnMvZG93bnJldi54bWxQSwUGAAAAAAQABADzAAAAaQUAAAAA&#10;" filled="f" stroked="f">
              <v:textbox style="mso-fit-shape-to-text:t" inset="0,15pt,0,0">
                <w:txbxContent>
                  <w:p w14:paraId="1923FA36" w14:textId="1442A88F" w:rsidR="007B0D5F" w:rsidRPr="007B0D5F" w:rsidRDefault="007B0D5F" w:rsidP="007B0D5F">
                    <w:pPr>
                      <w:spacing w:after="0"/>
                      <w:rPr>
                        <w:rFonts w:eastAsia="Calibri" w:cs="Calibri"/>
                        <w:noProof/>
                        <w:color w:val="000000"/>
                        <w:sz w:val="20"/>
                        <w:szCs w:val="20"/>
                      </w:rPr>
                    </w:pPr>
                    <w:r w:rsidRPr="007B0D5F">
                      <w:rPr>
                        <w:rFonts w:eastAsia="Calibri" w:cs="Calibri"/>
                        <w:noProof/>
                        <w:color w:val="000000"/>
                        <w:sz w:val="20"/>
                        <w:szCs w:val="20"/>
                      </w:rPr>
                      <w:t>IN-CONFIDENCE</w:t>
                    </w:r>
                  </w:p>
                </w:txbxContent>
              </v:textbox>
              <w10:wrap anchorx="page" anchory="page"/>
            </v:shape>
          </w:pict>
        </mc:Fallback>
      </mc:AlternateContent>
    </w:r>
    <w:r w:rsidR="00000000">
      <w:rPr>
        <w:noProof/>
      </w:rPr>
      <w:pict w14:anchorId="705EF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5486834" o:spid="_x0000_s1045" type="#_x0000_t136" style="position:absolute;left:0;text-align:left;margin-left:0;margin-top:0;width:399.65pt;height:239.8pt;rotation:315;z-index:-251658231;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D042EAD4"/>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2682BDA4"/>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5AD2C04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719E2A34"/>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4576295E"/>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513285B0"/>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2C393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5D46D032"/>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4A5AC2D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F2960926"/>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7005DB"/>
    <w:multiLevelType w:val="multilevel"/>
    <w:tmpl w:val="EF6813DC"/>
    <w:lvl w:ilvl="0">
      <w:start w:val="1"/>
      <w:numFmt w:val="decimal"/>
      <w:pStyle w:val="TSNumber1"/>
      <w:lvlText w:val="%1"/>
      <w:lvlJc w:val="left"/>
      <w:pPr>
        <w:tabs>
          <w:tab w:val="num" w:pos="215"/>
        </w:tabs>
        <w:ind w:left="215" w:hanging="215"/>
      </w:pPr>
      <w:rPr>
        <w:rFonts w:hint="default"/>
      </w:rPr>
    </w:lvl>
    <w:lvl w:ilvl="1">
      <w:start w:val="1"/>
      <w:numFmt w:val="lowerLetter"/>
      <w:pStyle w:val="TSNumbera"/>
      <w:lvlText w:val="%2"/>
      <w:lvlJc w:val="left"/>
      <w:pPr>
        <w:tabs>
          <w:tab w:val="num" w:pos="425"/>
        </w:tabs>
        <w:ind w:left="425" w:hanging="210"/>
      </w:pPr>
      <w:rPr>
        <w:rFonts w:hint="default"/>
      </w:rPr>
    </w:lvl>
    <w:lvl w:ilvl="2">
      <w:start w:val="1"/>
      <w:numFmt w:val="lowerRoman"/>
      <w:pStyle w:val="TSNumberi"/>
      <w:lvlText w:val="%3"/>
      <w:lvlJc w:val="left"/>
      <w:pPr>
        <w:tabs>
          <w:tab w:val="num" w:pos="641"/>
        </w:tabs>
        <w:ind w:left="641" w:hanging="216"/>
      </w:pPr>
      <w:rPr>
        <w:rFonts w:hint="default"/>
      </w:rPr>
    </w:lvl>
    <w:lvl w:ilvl="3">
      <w:start w:val="1"/>
      <w:numFmt w:val="none"/>
      <w:suff w:val="nothing"/>
      <w:lvlText w:val=""/>
      <w:lvlJc w:val="left"/>
      <w:pPr>
        <w:ind w:left="641" w:firstLine="0"/>
      </w:pPr>
      <w:rPr>
        <w:rFonts w:hint="default"/>
      </w:rPr>
    </w:lvl>
    <w:lvl w:ilvl="4">
      <w:start w:val="1"/>
      <w:numFmt w:val="none"/>
      <w:suff w:val="nothing"/>
      <w:lvlText w:val=""/>
      <w:lvlJc w:val="left"/>
      <w:pPr>
        <w:ind w:left="641" w:firstLine="0"/>
      </w:pPr>
      <w:rPr>
        <w:rFonts w:hint="default"/>
      </w:rPr>
    </w:lvl>
    <w:lvl w:ilvl="5">
      <w:start w:val="1"/>
      <w:numFmt w:val="none"/>
      <w:suff w:val="nothing"/>
      <w:lvlText w:val=""/>
      <w:lvlJc w:val="left"/>
      <w:pPr>
        <w:ind w:left="-32767" w:firstLine="0"/>
      </w:pPr>
      <w:rPr>
        <w:rFonts w:hint="default"/>
      </w:rPr>
    </w:lvl>
    <w:lvl w:ilvl="6">
      <w:start w:val="1"/>
      <w:numFmt w:val="none"/>
      <w:suff w:val="nothing"/>
      <w:lvlText w:val=""/>
      <w:lvlJc w:val="left"/>
      <w:pPr>
        <w:ind w:left="-32767" w:firstLine="0"/>
      </w:pPr>
      <w:rPr>
        <w:rFonts w:hint="default"/>
      </w:rPr>
    </w:lvl>
    <w:lvl w:ilvl="7">
      <w:start w:val="1"/>
      <w:numFmt w:val="none"/>
      <w:suff w:val="nothing"/>
      <w:lvlText w:val=""/>
      <w:lvlJc w:val="left"/>
      <w:pPr>
        <w:ind w:left="-32767" w:firstLine="0"/>
      </w:pPr>
      <w:rPr>
        <w:rFonts w:hint="default"/>
      </w:rPr>
    </w:lvl>
    <w:lvl w:ilvl="8">
      <w:start w:val="1"/>
      <w:numFmt w:val="none"/>
      <w:suff w:val="nothing"/>
      <w:lvlText w:val="%9."/>
      <w:lvlJc w:val="left"/>
      <w:pPr>
        <w:ind w:left="-32767" w:firstLine="0"/>
      </w:pPr>
      <w:rPr>
        <w:rFonts w:hint="default"/>
      </w:rPr>
    </w:lvl>
  </w:abstractNum>
  <w:abstractNum w:abstractNumId="11" w15:restartNumberingAfterBreak="0">
    <w:nsid w:val="075201C5"/>
    <w:multiLevelType w:val="multilevel"/>
    <w:tmpl w:val="45008A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D3C5EDE"/>
    <w:multiLevelType w:val="multilevel"/>
    <w:tmpl w:val="14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3" w15:restartNumberingAfterBreak="0">
    <w:nsid w:val="189F3420"/>
    <w:multiLevelType w:val="multilevel"/>
    <w:tmpl w:val="C9E85E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F7F10F8"/>
    <w:multiLevelType w:val="multilevel"/>
    <w:tmpl w:val="D0C840B2"/>
    <w:lvl w:ilvl="0">
      <w:start w:val="1"/>
      <w:numFmt w:val="decimal"/>
      <w:pStyle w:val="USNotes"/>
      <w:lvlText w:val="%1"/>
      <w:lvlJc w:val="left"/>
      <w:pPr>
        <w:tabs>
          <w:tab w:val="num" w:pos="1066"/>
        </w:tabs>
        <w:ind w:left="1066" w:hanging="215"/>
      </w:pPr>
      <w:rPr>
        <w:rFonts w:hint="default"/>
      </w:rPr>
    </w:lvl>
    <w:lvl w:ilvl="1">
      <w:start w:val="1"/>
      <w:numFmt w:val="none"/>
      <w:suff w:val="nothing"/>
      <w:lvlText w:val=""/>
      <w:lvlJc w:val="left"/>
      <w:pPr>
        <w:ind w:left="851" w:firstLine="0"/>
      </w:pPr>
      <w:rPr>
        <w:rFonts w:hint="default"/>
      </w:rPr>
    </w:lvl>
    <w:lvl w:ilvl="2">
      <w:start w:val="1"/>
      <w:numFmt w:val="none"/>
      <w:suff w:val="nothing"/>
      <w:lvlText w:val=""/>
      <w:lvlJc w:val="left"/>
      <w:pPr>
        <w:ind w:left="851" w:firstLine="0"/>
      </w:pPr>
      <w:rPr>
        <w:rFonts w:hint="default"/>
      </w:rPr>
    </w:lvl>
    <w:lvl w:ilvl="3">
      <w:start w:val="1"/>
      <w:numFmt w:val="none"/>
      <w:suff w:val="nothing"/>
      <w:lvlText w:val=""/>
      <w:lvlJc w:val="left"/>
      <w:pPr>
        <w:ind w:left="851" w:firstLine="0"/>
      </w:pPr>
      <w:rPr>
        <w:rFonts w:hint="default"/>
      </w:rPr>
    </w:lvl>
    <w:lvl w:ilvl="4">
      <w:start w:val="1"/>
      <w:numFmt w:val="none"/>
      <w:suff w:val="nothing"/>
      <w:lvlText w:val=""/>
      <w:lvlJc w:val="left"/>
      <w:pPr>
        <w:ind w:left="851" w:firstLine="0"/>
      </w:pPr>
      <w:rPr>
        <w:rFonts w:hint="default"/>
      </w:rPr>
    </w:lvl>
    <w:lvl w:ilvl="5">
      <w:start w:val="1"/>
      <w:numFmt w:val="none"/>
      <w:suff w:val="nothing"/>
      <w:lvlText w:val=""/>
      <w:lvlJc w:val="left"/>
      <w:pPr>
        <w:ind w:left="851" w:firstLine="0"/>
      </w:pPr>
      <w:rPr>
        <w:rFonts w:hint="default"/>
      </w:rPr>
    </w:lvl>
    <w:lvl w:ilvl="6">
      <w:start w:val="1"/>
      <w:numFmt w:val="none"/>
      <w:suff w:val="nothing"/>
      <w:lvlText w:val=""/>
      <w:lvlJc w:val="left"/>
      <w:pPr>
        <w:ind w:left="851" w:firstLine="0"/>
      </w:pPr>
      <w:rPr>
        <w:rFonts w:hint="default"/>
      </w:rPr>
    </w:lvl>
    <w:lvl w:ilvl="7">
      <w:start w:val="1"/>
      <w:numFmt w:val="none"/>
      <w:suff w:val="nothing"/>
      <w:lvlText w:val=""/>
      <w:lvlJc w:val="left"/>
      <w:pPr>
        <w:ind w:left="851" w:firstLine="0"/>
      </w:pPr>
      <w:rPr>
        <w:rFonts w:hint="default"/>
      </w:rPr>
    </w:lvl>
    <w:lvl w:ilvl="8">
      <w:start w:val="1"/>
      <w:numFmt w:val="none"/>
      <w:suff w:val="nothing"/>
      <w:lvlText w:val=""/>
      <w:lvlJc w:val="left"/>
      <w:pPr>
        <w:ind w:left="851" w:firstLine="0"/>
      </w:pPr>
      <w:rPr>
        <w:rFonts w:hint="default"/>
      </w:rPr>
    </w:lvl>
  </w:abstractNum>
  <w:abstractNum w:abstractNumId="15" w15:restartNumberingAfterBreak="0">
    <w:nsid w:val="2598728C"/>
    <w:multiLevelType w:val="multilevel"/>
    <w:tmpl w:val="85A6BB88"/>
    <w:lvl w:ilvl="0">
      <w:start w:val="1"/>
      <w:numFmt w:val="bullet"/>
      <w:lvlText w:val=""/>
      <w:lvlJc w:val="left"/>
      <w:pPr>
        <w:tabs>
          <w:tab w:val="num" w:pos="851"/>
        </w:tabs>
        <w:ind w:left="851" w:hanging="426"/>
      </w:pPr>
      <w:rPr>
        <w:rFonts w:ascii="Symbol" w:hAnsi="Symbol" w:hint="default"/>
        <w:color w:val="FFFFFF" w:themeColor="background1"/>
        <w:u w:color="FFFFFF" w:themeColor="background1"/>
      </w:rPr>
    </w:lvl>
    <w:lvl w:ilvl="1">
      <w:start w:val="1"/>
      <w:numFmt w:val="bullet"/>
      <w:lvlText w:val=""/>
      <w:lvlJc w:val="left"/>
      <w:pPr>
        <w:tabs>
          <w:tab w:val="num" w:pos="1276"/>
        </w:tabs>
        <w:ind w:left="1276" w:hanging="425"/>
      </w:pPr>
      <w:rPr>
        <w:rFonts w:ascii="Symbol" w:hAnsi="Symbol" w:hint="default"/>
        <w:u w:color="FFFFFF" w:themeColor="background1"/>
      </w:rPr>
    </w:lvl>
    <w:lvl w:ilvl="2">
      <w:start w:val="1"/>
      <w:numFmt w:val="none"/>
      <w:lvlText w:val=""/>
      <w:lvlJc w:val="left"/>
      <w:pPr>
        <w:ind w:left="0" w:firstLine="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6" w15:restartNumberingAfterBreak="0">
    <w:nsid w:val="38833290"/>
    <w:multiLevelType w:val="multilevel"/>
    <w:tmpl w:val="6B3097BC"/>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7" w15:restartNumberingAfterBreak="0">
    <w:nsid w:val="39070649"/>
    <w:multiLevelType w:val="multilevel"/>
    <w:tmpl w:val="887219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CCC2705"/>
    <w:multiLevelType w:val="multilevel"/>
    <w:tmpl w:val="6E484DB2"/>
    <w:lvl w:ilvl="0">
      <w:start w:val="1"/>
      <w:numFmt w:val="upperLetter"/>
      <w:pStyle w:val="ApxHeading1"/>
      <w:suff w:val="space"/>
      <w:lvlText w:val="Appendix %1"/>
      <w:lvlJc w:val="left"/>
      <w:pPr>
        <w:ind w:left="0" w:firstLine="0"/>
      </w:pPr>
      <w:rPr>
        <w:rFonts w:hint="default"/>
      </w:rPr>
    </w:lvl>
    <w:lvl w:ilvl="1">
      <w:start w:val="1"/>
      <w:numFmt w:val="decimal"/>
      <w:pStyle w:val="ApxHeading2"/>
      <w:lvlText w:val="%1.%2"/>
      <w:lvlJc w:val="left"/>
      <w:pPr>
        <w:tabs>
          <w:tab w:val="num" w:pos="851"/>
        </w:tabs>
        <w:ind w:left="851" w:hanging="851"/>
      </w:pPr>
      <w:rPr>
        <w:rFonts w:hint="default"/>
      </w:rPr>
    </w:lvl>
    <w:lvl w:ilvl="2">
      <w:start w:val="1"/>
      <w:numFmt w:val="decimal"/>
      <w:pStyle w:val="ApxHeading3"/>
      <w:lvlText w:val="%1.%2.%3"/>
      <w:lvlJc w:val="left"/>
      <w:pPr>
        <w:tabs>
          <w:tab w:val="num" w:pos="851"/>
        </w:tabs>
        <w:ind w:left="851" w:hanging="851"/>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9" w15:restartNumberingAfterBreak="0">
    <w:nsid w:val="3D40702B"/>
    <w:multiLevelType w:val="hybridMultilevel"/>
    <w:tmpl w:val="F2A8D2C0"/>
    <w:lvl w:ilvl="0" w:tplc="14090001">
      <w:start w:val="1"/>
      <w:numFmt w:val="bullet"/>
      <w:lvlText w:val=""/>
      <w:lvlJc w:val="left"/>
      <w:pPr>
        <w:ind w:left="1571" w:hanging="360"/>
      </w:pPr>
      <w:rPr>
        <w:rFonts w:ascii="Symbol" w:hAnsi="Symbol" w:hint="default"/>
      </w:rPr>
    </w:lvl>
    <w:lvl w:ilvl="1" w:tplc="14090019" w:tentative="1">
      <w:start w:val="1"/>
      <w:numFmt w:val="lowerLetter"/>
      <w:lvlText w:val="%2."/>
      <w:lvlJc w:val="left"/>
      <w:pPr>
        <w:ind w:left="2291" w:hanging="360"/>
      </w:pPr>
    </w:lvl>
    <w:lvl w:ilvl="2" w:tplc="1409001B" w:tentative="1">
      <w:start w:val="1"/>
      <w:numFmt w:val="lowerRoman"/>
      <w:lvlText w:val="%3."/>
      <w:lvlJc w:val="right"/>
      <w:pPr>
        <w:ind w:left="3011" w:hanging="180"/>
      </w:pPr>
    </w:lvl>
    <w:lvl w:ilvl="3" w:tplc="1409000F" w:tentative="1">
      <w:start w:val="1"/>
      <w:numFmt w:val="decimal"/>
      <w:lvlText w:val="%4."/>
      <w:lvlJc w:val="left"/>
      <w:pPr>
        <w:ind w:left="3731" w:hanging="360"/>
      </w:pPr>
    </w:lvl>
    <w:lvl w:ilvl="4" w:tplc="14090019" w:tentative="1">
      <w:start w:val="1"/>
      <w:numFmt w:val="lowerLetter"/>
      <w:lvlText w:val="%5."/>
      <w:lvlJc w:val="left"/>
      <w:pPr>
        <w:ind w:left="4451" w:hanging="360"/>
      </w:pPr>
    </w:lvl>
    <w:lvl w:ilvl="5" w:tplc="1409001B" w:tentative="1">
      <w:start w:val="1"/>
      <w:numFmt w:val="lowerRoman"/>
      <w:lvlText w:val="%6."/>
      <w:lvlJc w:val="right"/>
      <w:pPr>
        <w:ind w:left="5171" w:hanging="180"/>
      </w:pPr>
    </w:lvl>
    <w:lvl w:ilvl="6" w:tplc="1409000F" w:tentative="1">
      <w:start w:val="1"/>
      <w:numFmt w:val="decimal"/>
      <w:lvlText w:val="%7."/>
      <w:lvlJc w:val="left"/>
      <w:pPr>
        <w:ind w:left="5891" w:hanging="360"/>
      </w:pPr>
    </w:lvl>
    <w:lvl w:ilvl="7" w:tplc="14090019" w:tentative="1">
      <w:start w:val="1"/>
      <w:numFmt w:val="lowerLetter"/>
      <w:lvlText w:val="%8."/>
      <w:lvlJc w:val="left"/>
      <w:pPr>
        <w:ind w:left="6611" w:hanging="360"/>
      </w:pPr>
    </w:lvl>
    <w:lvl w:ilvl="8" w:tplc="1409001B" w:tentative="1">
      <w:start w:val="1"/>
      <w:numFmt w:val="lowerRoman"/>
      <w:lvlText w:val="%9."/>
      <w:lvlJc w:val="right"/>
      <w:pPr>
        <w:ind w:left="7331" w:hanging="180"/>
      </w:pPr>
    </w:lvl>
  </w:abstractNum>
  <w:abstractNum w:abstractNumId="20" w15:restartNumberingAfterBreak="0">
    <w:nsid w:val="41227B13"/>
    <w:multiLevelType w:val="multilevel"/>
    <w:tmpl w:val="4098597E"/>
    <w:lvl w:ilvl="0">
      <w:start w:val="1"/>
      <w:numFmt w:val="bullet"/>
      <w:pStyle w:val="TSMixedB2"/>
      <w:lvlText w:val=""/>
      <w:lvlJc w:val="left"/>
      <w:pPr>
        <w:tabs>
          <w:tab w:val="num" w:pos="425"/>
        </w:tabs>
        <w:ind w:left="425" w:hanging="210"/>
      </w:pPr>
      <w:rPr>
        <w:rFonts w:ascii="Symbol" w:hAnsi="Symbol" w:hint="default"/>
        <w:color w:val="0094C5"/>
        <w:sz w:val="16"/>
      </w:rPr>
    </w:lvl>
    <w:lvl w:ilvl="1">
      <w:start w:val="1"/>
      <w:numFmt w:val="bullet"/>
      <w:pStyle w:val="TSMixedB3"/>
      <w:lvlText w:val="-"/>
      <w:lvlJc w:val="left"/>
      <w:pPr>
        <w:tabs>
          <w:tab w:val="num" w:pos="641"/>
        </w:tabs>
        <w:ind w:left="641" w:hanging="216"/>
      </w:pPr>
      <w:rPr>
        <w:rFonts w:ascii="Courier New" w:hAnsi="Courier New" w:hint="default"/>
      </w:rPr>
    </w:lvl>
    <w:lvl w:ilvl="2">
      <w:start w:val="1"/>
      <w:numFmt w:val="none"/>
      <w:suff w:val="nothing"/>
      <w:lvlText w:val=""/>
      <w:lvlJc w:val="left"/>
      <w:pPr>
        <w:ind w:left="641" w:firstLine="0"/>
      </w:pPr>
      <w:rPr>
        <w:rFonts w:hint="default"/>
      </w:rPr>
    </w:lvl>
    <w:lvl w:ilvl="3">
      <w:start w:val="1"/>
      <w:numFmt w:val="none"/>
      <w:suff w:val="nothing"/>
      <w:lvlText w:val=""/>
      <w:lvlJc w:val="left"/>
      <w:pPr>
        <w:ind w:left="641" w:firstLine="0"/>
      </w:pPr>
      <w:rPr>
        <w:rFonts w:hint="default"/>
      </w:rPr>
    </w:lvl>
    <w:lvl w:ilvl="4">
      <w:start w:val="1"/>
      <w:numFmt w:val="none"/>
      <w:suff w:val="nothing"/>
      <w:lvlText w:val=""/>
      <w:lvlJc w:val="left"/>
      <w:pPr>
        <w:ind w:left="641" w:firstLine="0"/>
      </w:pPr>
      <w:rPr>
        <w:rFonts w:hint="default"/>
      </w:rPr>
    </w:lvl>
    <w:lvl w:ilvl="5">
      <w:start w:val="1"/>
      <w:numFmt w:val="none"/>
      <w:suff w:val="nothing"/>
      <w:lvlText w:val=""/>
      <w:lvlJc w:val="left"/>
      <w:pPr>
        <w:ind w:left="641" w:firstLine="0"/>
      </w:pPr>
      <w:rPr>
        <w:rFonts w:hint="default"/>
      </w:rPr>
    </w:lvl>
    <w:lvl w:ilvl="6">
      <w:start w:val="1"/>
      <w:numFmt w:val="none"/>
      <w:suff w:val="nothing"/>
      <w:lvlText w:val=""/>
      <w:lvlJc w:val="left"/>
      <w:pPr>
        <w:ind w:left="641" w:firstLine="0"/>
      </w:pPr>
      <w:rPr>
        <w:rFonts w:hint="default"/>
      </w:rPr>
    </w:lvl>
    <w:lvl w:ilvl="7">
      <w:start w:val="1"/>
      <w:numFmt w:val="none"/>
      <w:suff w:val="nothing"/>
      <w:lvlText w:val=""/>
      <w:lvlJc w:val="left"/>
      <w:pPr>
        <w:ind w:left="641" w:firstLine="0"/>
      </w:pPr>
      <w:rPr>
        <w:rFonts w:hint="default"/>
      </w:rPr>
    </w:lvl>
    <w:lvl w:ilvl="8">
      <w:start w:val="1"/>
      <w:numFmt w:val="none"/>
      <w:suff w:val="nothing"/>
      <w:lvlText w:val=""/>
      <w:lvlJc w:val="left"/>
      <w:pPr>
        <w:ind w:left="641" w:firstLine="0"/>
      </w:pPr>
      <w:rPr>
        <w:rFonts w:hint="default"/>
      </w:rPr>
    </w:lvl>
  </w:abstractNum>
  <w:abstractNum w:abstractNumId="21" w15:restartNumberingAfterBreak="0">
    <w:nsid w:val="43681FDF"/>
    <w:multiLevelType w:val="multilevel"/>
    <w:tmpl w:val="A672D3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53D6D18"/>
    <w:multiLevelType w:val="multilevel"/>
    <w:tmpl w:val="274ACB12"/>
    <w:lvl w:ilvl="0">
      <w:start w:val="1"/>
      <w:numFmt w:val="decimal"/>
      <w:lvlText w:val="%1"/>
      <w:lvlJc w:val="left"/>
      <w:pPr>
        <w:tabs>
          <w:tab w:val="num" w:pos="215"/>
        </w:tabs>
        <w:ind w:left="215" w:hanging="215"/>
      </w:pPr>
      <w:rPr>
        <w:rFonts w:hint="default"/>
      </w:rPr>
    </w:lvl>
    <w:lvl w:ilvl="1">
      <w:start w:val="1"/>
      <w:numFmt w:val="none"/>
      <w:suff w:val="nothing"/>
      <w:lvlText w:val=""/>
      <w:lvlJc w:val="left"/>
      <w:pPr>
        <w:ind w:left="215" w:firstLine="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49452C05"/>
    <w:multiLevelType w:val="multilevel"/>
    <w:tmpl w:val="DE68D136"/>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lowerLetter"/>
      <w:lvlText w:val="%4"/>
      <w:lvlJc w:val="left"/>
      <w:pPr>
        <w:tabs>
          <w:tab w:val="num" w:pos="1276"/>
        </w:tabs>
        <w:ind w:left="1276" w:hanging="425"/>
      </w:pPr>
      <w:rPr>
        <w:rFonts w:hint="default"/>
      </w:rPr>
    </w:lvl>
    <w:lvl w:ilvl="4">
      <w:start w:val="1"/>
      <w:numFmt w:val="lowerRoman"/>
      <w:lvlText w:val="%5"/>
      <w:lvlJc w:val="left"/>
      <w:pPr>
        <w:tabs>
          <w:tab w:val="num" w:pos="1701"/>
        </w:tabs>
        <w:ind w:left="1701" w:hanging="425"/>
      </w:pPr>
      <w:rPr>
        <w:rFonts w:hint="default"/>
      </w:rPr>
    </w:lvl>
    <w:lvl w:ilvl="5">
      <w:start w:val="1"/>
      <w:numFmt w:val="bullet"/>
      <w:lvlText w:val=""/>
      <w:lvlJc w:val="left"/>
      <w:pPr>
        <w:tabs>
          <w:tab w:val="num" w:pos="1276"/>
        </w:tabs>
        <w:ind w:left="1276" w:hanging="425"/>
      </w:pPr>
      <w:rPr>
        <w:rFonts w:ascii="Symbol" w:hAnsi="Symbol" w:hint="default"/>
        <w:color w:val="auto"/>
      </w:rPr>
    </w:lvl>
    <w:lvl w:ilvl="6">
      <w:start w:val="1"/>
      <w:numFmt w:val="bullet"/>
      <w:lvlText w:val="-"/>
      <w:lvlJc w:val="left"/>
      <w:pPr>
        <w:tabs>
          <w:tab w:val="num" w:pos="1701"/>
        </w:tabs>
        <w:ind w:left="1701" w:hanging="425"/>
      </w:pPr>
      <w:rPr>
        <w:rFonts w:ascii="Courier New" w:hAnsi="Courier New" w:hint="default"/>
      </w:rPr>
    </w:lvl>
    <w:lvl w:ilvl="7">
      <w:start w:val="1"/>
      <w:numFmt w:val="bullet"/>
      <w:lvlText w:val=""/>
      <w:lvlJc w:val="left"/>
      <w:pPr>
        <w:tabs>
          <w:tab w:val="num" w:pos="2126"/>
        </w:tabs>
        <w:ind w:left="2126" w:hanging="425"/>
      </w:pPr>
      <w:rPr>
        <w:rFonts w:ascii="Wingdings" w:hAnsi="Wingdings" w:hint="default"/>
      </w:rPr>
    </w:lvl>
    <w:lvl w:ilvl="8">
      <w:start w:val="1"/>
      <w:numFmt w:val="none"/>
      <w:suff w:val="nothing"/>
      <w:lvlText w:val=""/>
      <w:lvlJc w:val="left"/>
      <w:pPr>
        <w:ind w:left="2126" w:firstLine="0"/>
      </w:pPr>
      <w:rPr>
        <w:rFonts w:hint="default"/>
      </w:rPr>
    </w:lvl>
  </w:abstractNum>
  <w:abstractNum w:abstractNumId="24" w15:restartNumberingAfterBreak="0">
    <w:nsid w:val="4A80497A"/>
    <w:multiLevelType w:val="hybridMultilevel"/>
    <w:tmpl w:val="343A2360"/>
    <w:lvl w:ilvl="0" w:tplc="1409000F">
      <w:start w:val="1"/>
      <w:numFmt w:val="decimal"/>
      <w:lvlText w:val="%1."/>
      <w:lvlJc w:val="left"/>
      <w:pPr>
        <w:ind w:left="1571" w:hanging="360"/>
      </w:pPr>
    </w:lvl>
    <w:lvl w:ilvl="1" w:tplc="14090019" w:tentative="1">
      <w:start w:val="1"/>
      <w:numFmt w:val="lowerLetter"/>
      <w:lvlText w:val="%2."/>
      <w:lvlJc w:val="left"/>
      <w:pPr>
        <w:ind w:left="2291" w:hanging="360"/>
      </w:pPr>
    </w:lvl>
    <w:lvl w:ilvl="2" w:tplc="1409001B" w:tentative="1">
      <w:start w:val="1"/>
      <w:numFmt w:val="lowerRoman"/>
      <w:lvlText w:val="%3."/>
      <w:lvlJc w:val="right"/>
      <w:pPr>
        <w:ind w:left="3011" w:hanging="180"/>
      </w:pPr>
    </w:lvl>
    <w:lvl w:ilvl="3" w:tplc="1409000F" w:tentative="1">
      <w:start w:val="1"/>
      <w:numFmt w:val="decimal"/>
      <w:lvlText w:val="%4."/>
      <w:lvlJc w:val="left"/>
      <w:pPr>
        <w:ind w:left="3731" w:hanging="360"/>
      </w:pPr>
    </w:lvl>
    <w:lvl w:ilvl="4" w:tplc="14090019" w:tentative="1">
      <w:start w:val="1"/>
      <w:numFmt w:val="lowerLetter"/>
      <w:lvlText w:val="%5."/>
      <w:lvlJc w:val="left"/>
      <w:pPr>
        <w:ind w:left="4451" w:hanging="360"/>
      </w:pPr>
    </w:lvl>
    <w:lvl w:ilvl="5" w:tplc="1409001B" w:tentative="1">
      <w:start w:val="1"/>
      <w:numFmt w:val="lowerRoman"/>
      <w:lvlText w:val="%6."/>
      <w:lvlJc w:val="right"/>
      <w:pPr>
        <w:ind w:left="5171" w:hanging="180"/>
      </w:pPr>
    </w:lvl>
    <w:lvl w:ilvl="6" w:tplc="1409000F" w:tentative="1">
      <w:start w:val="1"/>
      <w:numFmt w:val="decimal"/>
      <w:lvlText w:val="%7."/>
      <w:lvlJc w:val="left"/>
      <w:pPr>
        <w:ind w:left="5891" w:hanging="360"/>
      </w:pPr>
    </w:lvl>
    <w:lvl w:ilvl="7" w:tplc="14090019" w:tentative="1">
      <w:start w:val="1"/>
      <w:numFmt w:val="lowerLetter"/>
      <w:lvlText w:val="%8."/>
      <w:lvlJc w:val="left"/>
      <w:pPr>
        <w:ind w:left="6611" w:hanging="360"/>
      </w:pPr>
    </w:lvl>
    <w:lvl w:ilvl="8" w:tplc="1409001B" w:tentative="1">
      <w:start w:val="1"/>
      <w:numFmt w:val="lowerRoman"/>
      <w:lvlText w:val="%9."/>
      <w:lvlJc w:val="right"/>
      <w:pPr>
        <w:ind w:left="7331" w:hanging="180"/>
      </w:pPr>
    </w:lvl>
  </w:abstractNum>
  <w:abstractNum w:abstractNumId="25" w15:restartNumberingAfterBreak="0">
    <w:nsid w:val="4C203B34"/>
    <w:multiLevelType w:val="multilevel"/>
    <w:tmpl w:val="D7BC099C"/>
    <w:lvl w:ilvl="0">
      <w:start w:val="1"/>
      <w:numFmt w:val="decimal"/>
      <w:lvlText w:val="%1"/>
      <w:lvlJc w:val="left"/>
      <w:pPr>
        <w:tabs>
          <w:tab w:val="num" w:pos="851"/>
        </w:tabs>
        <w:ind w:left="851" w:hanging="851"/>
      </w:pPr>
      <w:rPr>
        <w:rFonts w:hint="default"/>
      </w:rPr>
    </w:lvl>
    <w:lvl w:ilvl="1">
      <w:start w:val="1"/>
      <w:numFmt w:val="lowerLetter"/>
      <w:lvlText w:val="%2"/>
      <w:lvlJc w:val="left"/>
      <w:pPr>
        <w:tabs>
          <w:tab w:val="num" w:pos="1276"/>
        </w:tabs>
        <w:ind w:left="1276" w:hanging="425"/>
      </w:pPr>
      <w:rPr>
        <w:rFonts w:hint="default"/>
      </w:rPr>
    </w:lvl>
    <w:lvl w:ilvl="2">
      <w:start w:val="1"/>
      <w:numFmt w:val="lowerRoman"/>
      <w:lvlText w:val="%3"/>
      <w:lvlJc w:val="left"/>
      <w:pPr>
        <w:tabs>
          <w:tab w:val="num" w:pos="1276"/>
        </w:tabs>
        <w:ind w:left="1276" w:hanging="425"/>
      </w:pPr>
      <w:rPr>
        <w:rFonts w:hint="default"/>
      </w:rPr>
    </w:lvl>
    <w:lvl w:ilvl="3">
      <w:start w:val="1"/>
      <w:numFmt w:val="decimal"/>
      <w:lvlText w:val="%4"/>
      <w:lvlJc w:val="left"/>
      <w:pPr>
        <w:tabs>
          <w:tab w:val="num" w:pos="1276"/>
        </w:tabs>
        <w:ind w:left="1276" w:hanging="425"/>
      </w:pPr>
      <w:rPr>
        <w:rFonts w:hint="default"/>
      </w:rPr>
    </w:lvl>
    <w:lvl w:ilvl="4">
      <w:start w:val="1"/>
      <w:numFmt w:val="bullet"/>
      <w:lvlText w:val=""/>
      <w:lvlJc w:val="left"/>
      <w:pPr>
        <w:tabs>
          <w:tab w:val="num" w:pos="1701"/>
        </w:tabs>
        <w:ind w:left="1701" w:hanging="425"/>
      </w:pPr>
      <w:rPr>
        <w:rFonts w:ascii="Symbol" w:hAnsi="Symbol" w:hint="default"/>
        <w:color w:val="auto"/>
      </w:rPr>
    </w:lvl>
    <w:lvl w:ilvl="5">
      <w:start w:val="1"/>
      <w:numFmt w:val="bullet"/>
      <w:lvlText w:val="-"/>
      <w:lvlJc w:val="left"/>
      <w:pPr>
        <w:tabs>
          <w:tab w:val="num" w:pos="2126"/>
        </w:tabs>
        <w:ind w:left="2126" w:hanging="425"/>
      </w:pPr>
      <w:rPr>
        <w:rFonts w:ascii="Courier New" w:hAnsi="Courier New" w:hint="default"/>
      </w:rPr>
    </w:lvl>
    <w:lvl w:ilvl="6">
      <w:start w:val="1"/>
      <w:numFmt w:val="none"/>
      <w:suff w:val="nothing"/>
      <w:lvlText w:val=""/>
      <w:lvlJc w:val="left"/>
      <w:pPr>
        <w:ind w:left="2126" w:firstLine="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501A4B34"/>
    <w:multiLevelType w:val="hybridMultilevel"/>
    <w:tmpl w:val="943647F8"/>
    <w:lvl w:ilvl="0" w:tplc="5CE89AC8">
      <w:start w:val="1"/>
      <w:numFmt w:val="bullet"/>
      <w:lvlText w:val=""/>
      <w:lvlJc w:val="left"/>
      <w:pPr>
        <w:ind w:left="1080" w:hanging="360"/>
      </w:pPr>
      <w:rPr>
        <w:rFonts w:ascii="Symbol" w:hAnsi="Symbol"/>
      </w:rPr>
    </w:lvl>
    <w:lvl w:ilvl="1" w:tplc="7160E33E">
      <w:start w:val="1"/>
      <w:numFmt w:val="bullet"/>
      <w:lvlText w:val=""/>
      <w:lvlJc w:val="left"/>
      <w:pPr>
        <w:ind w:left="1080" w:hanging="360"/>
      </w:pPr>
      <w:rPr>
        <w:rFonts w:ascii="Symbol" w:hAnsi="Symbol"/>
      </w:rPr>
    </w:lvl>
    <w:lvl w:ilvl="2" w:tplc="6F9ACF92">
      <w:start w:val="1"/>
      <w:numFmt w:val="bullet"/>
      <w:lvlText w:val=""/>
      <w:lvlJc w:val="left"/>
      <w:pPr>
        <w:ind w:left="1080" w:hanging="360"/>
      </w:pPr>
      <w:rPr>
        <w:rFonts w:ascii="Symbol" w:hAnsi="Symbol"/>
      </w:rPr>
    </w:lvl>
    <w:lvl w:ilvl="3" w:tplc="9638830E">
      <w:start w:val="1"/>
      <w:numFmt w:val="bullet"/>
      <w:lvlText w:val=""/>
      <w:lvlJc w:val="left"/>
      <w:pPr>
        <w:ind w:left="1080" w:hanging="360"/>
      </w:pPr>
      <w:rPr>
        <w:rFonts w:ascii="Symbol" w:hAnsi="Symbol"/>
      </w:rPr>
    </w:lvl>
    <w:lvl w:ilvl="4" w:tplc="1400BF26">
      <w:start w:val="1"/>
      <w:numFmt w:val="bullet"/>
      <w:lvlText w:val=""/>
      <w:lvlJc w:val="left"/>
      <w:pPr>
        <w:ind w:left="1080" w:hanging="360"/>
      </w:pPr>
      <w:rPr>
        <w:rFonts w:ascii="Symbol" w:hAnsi="Symbol"/>
      </w:rPr>
    </w:lvl>
    <w:lvl w:ilvl="5" w:tplc="CD2A60DA">
      <w:start w:val="1"/>
      <w:numFmt w:val="bullet"/>
      <w:lvlText w:val=""/>
      <w:lvlJc w:val="left"/>
      <w:pPr>
        <w:ind w:left="1080" w:hanging="360"/>
      </w:pPr>
      <w:rPr>
        <w:rFonts w:ascii="Symbol" w:hAnsi="Symbol"/>
      </w:rPr>
    </w:lvl>
    <w:lvl w:ilvl="6" w:tplc="E0EC5902">
      <w:start w:val="1"/>
      <w:numFmt w:val="bullet"/>
      <w:lvlText w:val=""/>
      <w:lvlJc w:val="left"/>
      <w:pPr>
        <w:ind w:left="1080" w:hanging="360"/>
      </w:pPr>
      <w:rPr>
        <w:rFonts w:ascii="Symbol" w:hAnsi="Symbol"/>
      </w:rPr>
    </w:lvl>
    <w:lvl w:ilvl="7" w:tplc="1B8E9594">
      <w:start w:val="1"/>
      <w:numFmt w:val="bullet"/>
      <w:lvlText w:val=""/>
      <w:lvlJc w:val="left"/>
      <w:pPr>
        <w:ind w:left="1080" w:hanging="360"/>
      </w:pPr>
      <w:rPr>
        <w:rFonts w:ascii="Symbol" w:hAnsi="Symbol"/>
      </w:rPr>
    </w:lvl>
    <w:lvl w:ilvl="8" w:tplc="EA1A8ACC">
      <w:start w:val="1"/>
      <w:numFmt w:val="bullet"/>
      <w:lvlText w:val=""/>
      <w:lvlJc w:val="left"/>
      <w:pPr>
        <w:ind w:left="1080" w:hanging="360"/>
      </w:pPr>
      <w:rPr>
        <w:rFonts w:ascii="Symbol" w:hAnsi="Symbol"/>
      </w:rPr>
    </w:lvl>
  </w:abstractNum>
  <w:abstractNum w:abstractNumId="27" w15:restartNumberingAfterBreak="0">
    <w:nsid w:val="557D6C2D"/>
    <w:multiLevelType w:val="multilevel"/>
    <w:tmpl w:val="34C01A80"/>
    <w:lvl w:ilvl="0">
      <w:start w:val="1"/>
      <w:numFmt w:val="bullet"/>
      <w:pStyle w:val="TSBullet1"/>
      <w:lvlText w:val=""/>
      <w:lvlJc w:val="left"/>
      <w:pPr>
        <w:tabs>
          <w:tab w:val="num" w:pos="215"/>
        </w:tabs>
        <w:ind w:left="215" w:hanging="215"/>
      </w:pPr>
      <w:rPr>
        <w:rFonts w:ascii="Symbol" w:hAnsi="Symbol" w:hint="default"/>
        <w:color w:val="0094C5"/>
      </w:rPr>
    </w:lvl>
    <w:lvl w:ilvl="1">
      <w:start w:val="1"/>
      <w:numFmt w:val="bullet"/>
      <w:pStyle w:val="TSBullet2"/>
      <w:lvlText w:val="−"/>
      <w:lvlJc w:val="left"/>
      <w:pPr>
        <w:tabs>
          <w:tab w:val="num" w:pos="425"/>
        </w:tabs>
        <w:ind w:left="425" w:hanging="210"/>
      </w:pPr>
      <w:rPr>
        <w:rFonts w:ascii="Arial" w:hAnsi="Arial" w:hint="default"/>
      </w:rPr>
    </w:lvl>
    <w:lvl w:ilvl="2">
      <w:start w:val="1"/>
      <w:numFmt w:val="bullet"/>
      <w:pStyle w:val="TSBullet3"/>
      <w:lvlText w:val="−"/>
      <w:lvlJc w:val="left"/>
      <w:pPr>
        <w:tabs>
          <w:tab w:val="num" w:pos="641"/>
        </w:tabs>
        <w:ind w:left="641" w:hanging="216"/>
      </w:pPr>
      <w:rPr>
        <w:rFonts w:ascii="Arial" w:hAnsi="Arial" w:hint="default"/>
      </w:rPr>
    </w:lvl>
    <w:lvl w:ilvl="3">
      <w:start w:val="1"/>
      <w:numFmt w:val="none"/>
      <w:suff w:val="nothing"/>
      <w:lvlText w:val=""/>
      <w:lvlJc w:val="left"/>
      <w:pPr>
        <w:ind w:left="641" w:firstLine="0"/>
      </w:pPr>
      <w:rPr>
        <w:rFonts w:hint="default"/>
      </w:rPr>
    </w:lvl>
    <w:lvl w:ilvl="4">
      <w:start w:val="1"/>
      <w:numFmt w:val="none"/>
      <w:suff w:val="nothing"/>
      <w:lvlText w:val=""/>
      <w:lvlJc w:val="left"/>
      <w:pPr>
        <w:ind w:left="641" w:firstLine="0"/>
      </w:pPr>
      <w:rPr>
        <w:rFonts w:hint="default"/>
      </w:rPr>
    </w:lvl>
    <w:lvl w:ilvl="5">
      <w:start w:val="1"/>
      <w:numFmt w:val="none"/>
      <w:suff w:val="nothing"/>
      <w:lvlText w:val=""/>
      <w:lvlJc w:val="left"/>
      <w:pPr>
        <w:ind w:left="641" w:firstLine="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568D190D"/>
    <w:multiLevelType w:val="multilevel"/>
    <w:tmpl w:val="9EBAD1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7E41EEF"/>
    <w:multiLevelType w:val="multilevel"/>
    <w:tmpl w:val="469E944C"/>
    <w:lvl w:ilvl="0">
      <w:start w:val="1"/>
      <w:numFmt w:val="bullet"/>
      <w:pStyle w:val="USMixedB2"/>
      <w:lvlText w:val=""/>
      <w:lvlJc w:val="left"/>
      <w:pPr>
        <w:tabs>
          <w:tab w:val="num" w:pos="851"/>
        </w:tabs>
        <w:ind w:left="851" w:hanging="426"/>
      </w:pPr>
      <w:rPr>
        <w:rFonts w:ascii="Symbol" w:hAnsi="Symbol" w:hint="default"/>
        <w:color w:val="auto"/>
      </w:rPr>
    </w:lvl>
    <w:lvl w:ilvl="1">
      <w:start w:val="1"/>
      <w:numFmt w:val="bullet"/>
      <w:pStyle w:val="USMixedB3"/>
      <w:lvlText w:val="−"/>
      <w:lvlJc w:val="left"/>
      <w:pPr>
        <w:tabs>
          <w:tab w:val="num" w:pos="1276"/>
        </w:tabs>
        <w:ind w:left="1276" w:hanging="425"/>
      </w:pPr>
      <w:rPr>
        <w:rFonts w:ascii="Arial" w:hAnsi="Arial" w:hint="default"/>
      </w:rPr>
    </w:lvl>
    <w:lvl w:ilvl="2">
      <w:start w:val="1"/>
      <w:numFmt w:val="none"/>
      <w:suff w:val="nothing"/>
      <w:lvlText w:val=""/>
      <w:lvlJc w:val="left"/>
      <w:pPr>
        <w:ind w:left="1701" w:firstLine="0"/>
      </w:pPr>
      <w:rPr>
        <w:rFont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0" w15:restartNumberingAfterBreak="0">
    <w:nsid w:val="5D1E011B"/>
    <w:multiLevelType w:val="multilevel"/>
    <w:tmpl w:val="B7F6E602"/>
    <w:lvl w:ilvl="0">
      <w:start w:val="1"/>
      <w:numFmt w:val="bullet"/>
      <w:pStyle w:val="USBullet1"/>
      <w:lvlText w:val=""/>
      <w:lvlJc w:val="left"/>
      <w:pPr>
        <w:tabs>
          <w:tab w:val="num" w:pos="1276"/>
        </w:tabs>
        <w:ind w:left="1276" w:hanging="425"/>
      </w:pPr>
      <w:rPr>
        <w:rFonts w:ascii="Symbol" w:hAnsi="Symbol" w:hint="default"/>
        <w:color w:val="0094C5"/>
        <w:u w:color="0094C5"/>
      </w:rPr>
    </w:lvl>
    <w:lvl w:ilvl="1">
      <w:start w:val="1"/>
      <w:numFmt w:val="bullet"/>
      <w:pStyle w:val="USBullet2"/>
      <w:lvlText w:val="−"/>
      <w:lvlJc w:val="left"/>
      <w:pPr>
        <w:tabs>
          <w:tab w:val="num" w:pos="1701"/>
        </w:tabs>
        <w:ind w:left="1701" w:hanging="425"/>
      </w:pPr>
      <w:rPr>
        <w:rFonts w:ascii="Arial" w:hAnsi="Arial" w:hint="default"/>
      </w:rPr>
    </w:lvl>
    <w:lvl w:ilvl="2">
      <w:start w:val="1"/>
      <w:numFmt w:val="bullet"/>
      <w:pStyle w:val="USBullet3"/>
      <w:lvlText w:val="−"/>
      <w:lvlJc w:val="left"/>
      <w:pPr>
        <w:tabs>
          <w:tab w:val="num" w:pos="2126"/>
        </w:tabs>
        <w:ind w:left="2126" w:hanging="425"/>
      </w:pPr>
      <w:rPr>
        <w:rFonts w:ascii="Arial" w:hAnsi="Arial" w:hint="default"/>
      </w:rPr>
    </w:lvl>
    <w:lvl w:ilvl="3">
      <w:start w:val="1"/>
      <w:numFmt w:val="none"/>
      <w:suff w:val="nothing"/>
      <w:lvlText w:val=""/>
      <w:lvlJc w:val="left"/>
      <w:pPr>
        <w:ind w:left="2126" w:firstLine="0"/>
      </w:pPr>
      <w:rPr>
        <w:rFonts w:hint="default"/>
      </w:rPr>
    </w:lvl>
    <w:lvl w:ilvl="4">
      <w:start w:val="1"/>
      <w:numFmt w:val="none"/>
      <w:suff w:val="nothing"/>
      <w:lvlText w:val=""/>
      <w:lvlJc w:val="left"/>
      <w:pPr>
        <w:ind w:left="2126" w:firstLine="0"/>
      </w:pPr>
      <w:rPr>
        <w:rFonts w:hint="default"/>
      </w:rPr>
    </w:lvl>
    <w:lvl w:ilvl="5">
      <w:start w:val="1"/>
      <w:numFmt w:val="none"/>
      <w:suff w:val="nothing"/>
      <w:lvlText w:val=""/>
      <w:lvlJc w:val="left"/>
      <w:pPr>
        <w:ind w:left="2126" w:firstLine="0"/>
      </w:pPr>
      <w:rPr>
        <w:rFonts w:hint="default"/>
      </w:rPr>
    </w:lvl>
    <w:lvl w:ilvl="6">
      <w:start w:val="1"/>
      <w:numFmt w:val="none"/>
      <w:suff w:val="nothing"/>
      <w:lvlText w:val=""/>
      <w:lvlJc w:val="left"/>
      <w:pPr>
        <w:ind w:left="2126" w:firstLine="0"/>
      </w:pPr>
      <w:rPr>
        <w:rFonts w:hint="default"/>
      </w:rPr>
    </w:lvl>
    <w:lvl w:ilvl="7">
      <w:start w:val="1"/>
      <w:numFmt w:val="none"/>
      <w:suff w:val="nothing"/>
      <w:lvlText w:val=""/>
      <w:lvlJc w:val="left"/>
      <w:pPr>
        <w:ind w:left="2126" w:firstLine="0"/>
      </w:pPr>
      <w:rPr>
        <w:rFonts w:hint="default"/>
      </w:rPr>
    </w:lvl>
    <w:lvl w:ilvl="8">
      <w:start w:val="1"/>
      <w:numFmt w:val="none"/>
      <w:suff w:val="nothing"/>
      <w:lvlText w:val=""/>
      <w:lvlJc w:val="left"/>
      <w:pPr>
        <w:ind w:left="2126" w:firstLine="0"/>
      </w:pPr>
      <w:rPr>
        <w:rFonts w:hint="default"/>
      </w:rPr>
    </w:lvl>
  </w:abstractNum>
  <w:abstractNum w:abstractNumId="31" w15:restartNumberingAfterBreak="0">
    <w:nsid w:val="5D844993"/>
    <w:multiLevelType w:val="multilevel"/>
    <w:tmpl w:val="B2A87BA0"/>
    <w:lvl w:ilvl="0">
      <w:start w:val="1"/>
      <w:numFmt w:val="decimal"/>
      <w:pStyle w:val="USNumber1"/>
      <w:lvlText w:val="%1"/>
      <w:lvlJc w:val="left"/>
      <w:pPr>
        <w:tabs>
          <w:tab w:val="num" w:pos="1276"/>
        </w:tabs>
        <w:ind w:left="1276" w:hanging="425"/>
      </w:pPr>
      <w:rPr>
        <w:rFonts w:hint="default"/>
      </w:rPr>
    </w:lvl>
    <w:lvl w:ilvl="1">
      <w:start w:val="1"/>
      <w:numFmt w:val="lowerLetter"/>
      <w:pStyle w:val="USNumbera"/>
      <w:lvlText w:val="%2"/>
      <w:lvlJc w:val="left"/>
      <w:pPr>
        <w:tabs>
          <w:tab w:val="num" w:pos="1701"/>
        </w:tabs>
        <w:ind w:left="1701" w:hanging="425"/>
      </w:pPr>
      <w:rPr>
        <w:rFonts w:hint="default"/>
      </w:rPr>
    </w:lvl>
    <w:lvl w:ilvl="2">
      <w:start w:val="1"/>
      <w:numFmt w:val="lowerRoman"/>
      <w:pStyle w:val="USNumberi"/>
      <w:lvlText w:val="%3"/>
      <w:lvlJc w:val="left"/>
      <w:pPr>
        <w:tabs>
          <w:tab w:val="num" w:pos="2126"/>
        </w:tabs>
        <w:ind w:left="2126" w:hanging="425"/>
      </w:pPr>
      <w:rPr>
        <w:rFonts w:hint="default"/>
      </w:rPr>
    </w:lvl>
    <w:lvl w:ilvl="3">
      <w:start w:val="1"/>
      <w:numFmt w:val="none"/>
      <w:suff w:val="nothing"/>
      <w:lvlText w:val=""/>
      <w:lvlJc w:val="left"/>
      <w:pPr>
        <w:ind w:left="2126" w:firstLine="0"/>
      </w:pPr>
      <w:rPr>
        <w:rFonts w:hint="default"/>
      </w:rPr>
    </w:lvl>
    <w:lvl w:ilvl="4">
      <w:start w:val="1"/>
      <w:numFmt w:val="none"/>
      <w:suff w:val="nothing"/>
      <w:lvlText w:val=""/>
      <w:lvlJc w:val="left"/>
      <w:pPr>
        <w:ind w:left="2126" w:firstLine="0"/>
      </w:pPr>
      <w:rPr>
        <w:rFonts w:hint="default"/>
      </w:rPr>
    </w:lvl>
    <w:lvl w:ilvl="5">
      <w:start w:val="1"/>
      <w:numFmt w:val="none"/>
      <w:suff w:val="nothing"/>
      <w:lvlText w:val=""/>
      <w:lvlJc w:val="left"/>
      <w:pPr>
        <w:ind w:left="2126" w:firstLine="0"/>
      </w:pPr>
      <w:rPr>
        <w:rFonts w:hint="default"/>
      </w:rPr>
    </w:lvl>
    <w:lvl w:ilvl="6">
      <w:start w:val="1"/>
      <w:numFmt w:val="none"/>
      <w:suff w:val="nothing"/>
      <w:lvlText w:val=""/>
      <w:lvlJc w:val="left"/>
      <w:pPr>
        <w:ind w:left="2126" w:firstLine="0"/>
      </w:pPr>
      <w:rPr>
        <w:rFonts w:hint="default"/>
      </w:rPr>
    </w:lvl>
    <w:lvl w:ilvl="7">
      <w:start w:val="1"/>
      <w:numFmt w:val="none"/>
      <w:suff w:val="nothing"/>
      <w:lvlText w:val=""/>
      <w:lvlJc w:val="left"/>
      <w:pPr>
        <w:ind w:left="2126" w:firstLine="0"/>
      </w:pPr>
      <w:rPr>
        <w:rFonts w:hint="default"/>
      </w:rPr>
    </w:lvl>
    <w:lvl w:ilvl="8">
      <w:start w:val="1"/>
      <w:numFmt w:val="none"/>
      <w:suff w:val="nothing"/>
      <w:lvlText w:val=""/>
      <w:lvlJc w:val="left"/>
      <w:pPr>
        <w:ind w:left="2126" w:firstLine="0"/>
      </w:pPr>
      <w:rPr>
        <w:rFonts w:hint="default"/>
      </w:rPr>
    </w:lvl>
  </w:abstractNum>
  <w:abstractNum w:abstractNumId="32" w15:restartNumberingAfterBreak="0">
    <w:nsid w:val="5E856560"/>
    <w:multiLevelType w:val="multilevel"/>
    <w:tmpl w:val="1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63ED3CCC"/>
    <w:multiLevelType w:val="multilevel"/>
    <w:tmpl w:val="602CD5E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4" w15:restartNumberingAfterBreak="0">
    <w:nsid w:val="63F90F0A"/>
    <w:multiLevelType w:val="multilevel"/>
    <w:tmpl w:val="FF0873CA"/>
    <w:lvl w:ilvl="0">
      <w:start w:val="1"/>
      <w:numFmt w:val="upperLetter"/>
      <w:suff w:val="space"/>
      <w:lvlText w:val="Appendix %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none"/>
      <w:lvlText w:val=""/>
      <w:lvlJc w:val="left"/>
      <w:pPr>
        <w:tabs>
          <w:tab w:val="num" w:pos="0"/>
        </w:tabs>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5" w15:restartNumberingAfterBreak="0">
    <w:nsid w:val="654727AC"/>
    <w:multiLevelType w:val="hybridMultilevel"/>
    <w:tmpl w:val="6158CE2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6" w15:restartNumberingAfterBreak="0">
    <w:nsid w:val="67CF3E49"/>
    <w:multiLevelType w:val="multilevel"/>
    <w:tmpl w:val="1B86400C"/>
    <w:lvl w:ilvl="0">
      <w:start w:val="1"/>
      <w:numFmt w:val="decimal"/>
      <w:lvlText w:val="%1"/>
      <w:lvlJc w:val="left"/>
      <w:pPr>
        <w:tabs>
          <w:tab w:val="num" w:pos="851"/>
        </w:tabs>
        <w:ind w:left="851" w:hanging="851"/>
      </w:pPr>
      <w:rPr>
        <w:rFonts w:hint="default"/>
      </w:rPr>
    </w:lvl>
    <w:lvl w:ilvl="1">
      <w:start w:val="1"/>
      <w:numFmt w:val="none"/>
      <w:suff w:val="nothing"/>
      <w:lvlText w:val=""/>
      <w:lvlJc w:val="left"/>
      <w:pPr>
        <w:ind w:left="0" w:firstLine="0"/>
      </w:pPr>
      <w:rPr>
        <w:rFonts w:hint="default"/>
      </w:rPr>
    </w:lvl>
    <w:lvl w:ilvl="2">
      <w:start w:val="1"/>
      <w:numFmt w:val="decimal"/>
      <w:lvlText w:val="%3."/>
      <w:lvlJc w:val="left"/>
      <w:pPr>
        <w:ind w:left="1440" w:firstLine="0"/>
      </w:pPr>
      <w:rPr>
        <w:rFonts w:hint="default"/>
      </w:rPr>
    </w:lvl>
    <w:lvl w:ilvl="3">
      <w:start w:val="1"/>
      <w:numFmt w:val="lowerLetter"/>
      <w:lvlText w:val="%4)"/>
      <w:lvlJc w:val="left"/>
      <w:pPr>
        <w:ind w:left="2160" w:firstLine="0"/>
      </w:pPr>
      <w:rPr>
        <w:rFonts w:hint="default"/>
      </w:rPr>
    </w:lvl>
    <w:lvl w:ilvl="4">
      <w:start w:val="1"/>
      <w:numFmt w:val="decimal"/>
      <w:lvlText w:val="(%5)"/>
      <w:lvlJc w:val="left"/>
      <w:pPr>
        <w:ind w:left="2880" w:firstLine="0"/>
      </w:pPr>
      <w:rPr>
        <w:rFonts w:hint="default"/>
      </w:rPr>
    </w:lvl>
    <w:lvl w:ilvl="5">
      <w:start w:val="1"/>
      <w:numFmt w:val="lowerLetter"/>
      <w:lvlText w:val="(%6)"/>
      <w:lvlJc w:val="left"/>
      <w:pPr>
        <w:ind w:left="3600" w:firstLine="0"/>
      </w:pPr>
      <w:rPr>
        <w:rFonts w:hint="default"/>
      </w:rPr>
    </w:lvl>
    <w:lvl w:ilvl="6">
      <w:start w:val="1"/>
      <w:numFmt w:val="lowerRoman"/>
      <w:lvlText w:val="(%7)"/>
      <w:lvlJc w:val="left"/>
      <w:pPr>
        <w:ind w:left="4320" w:firstLine="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abstractNum w:abstractNumId="37" w15:restartNumberingAfterBreak="0">
    <w:nsid w:val="690A69E3"/>
    <w:multiLevelType w:val="multilevel"/>
    <w:tmpl w:val="274ACB12"/>
    <w:lvl w:ilvl="0">
      <w:start w:val="1"/>
      <w:numFmt w:val="decimal"/>
      <w:lvlText w:val="%1"/>
      <w:lvlJc w:val="left"/>
      <w:pPr>
        <w:tabs>
          <w:tab w:val="num" w:pos="215"/>
        </w:tabs>
        <w:ind w:left="215" w:hanging="215"/>
      </w:pPr>
      <w:rPr>
        <w:rFonts w:hint="default"/>
      </w:rPr>
    </w:lvl>
    <w:lvl w:ilvl="1">
      <w:start w:val="1"/>
      <w:numFmt w:val="none"/>
      <w:suff w:val="nothing"/>
      <w:lvlText w:val=""/>
      <w:lvlJc w:val="left"/>
      <w:pPr>
        <w:ind w:left="215" w:firstLine="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8" w15:restartNumberingAfterBreak="0">
    <w:nsid w:val="699B1B68"/>
    <w:multiLevelType w:val="multilevel"/>
    <w:tmpl w:val="1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9" w15:restartNumberingAfterBreak="0">
    <w:nsid w:val="6CC63F73"/>
    <w:multiLevelType w:val="hybridMultilevel"/>
    <w:tmpl w:val="D7F8D72C"/>
    <w:lvl w:ilvl="0" w:tplc="14090001">
      <w:start w:val="1"/>
      <w:numFmt w:val="bullet"/>
      <w:lvlText w:val=""/>
      <w:lvlJc w:val="left"/>
      <w:pPr>
        <w:ind w:left="1571" w:hanging="360"/>
      </w:pPr>
      <w:rPr>
        <w:rFonts w:ascii="Symbol" w:hAnsi="Symbol" w:hint="default"/>
      </w:rPr>
    </w:lvl>
    <w:lvl w:ilvl="1" w:tplc="14090003" w:tentative="1">
      <w:start w:val="1"/>
      <w:numFmt w:val="bullet"/>
      <w:lvlText w:val="o"/>
      <w:lvlJc w:val="left"/>
      <w:pPr>
        <w:ind w:left="2291" w:hanging="360"/>
      </w:pPr>
      <w:rPr>
        <w:rFonts w:ascii="Courier New" w:hAnsi="Courier New" w:cs="Courier New" w:hint="default"/>
      </w:rPr>
    </w:lvl>
    <w:lvl w:ilvl="2" w:tplc="14090005" w:tentative="1">
      <w:start w:val="1"/>
      <w:numFmt w:val="bullet"/>
      <w:lvlText w:val=""/>
      <w:lvlJc w:val="left"/>
      <w:pPr>
        <w:ind w:left="3011" w:hanging="360"/>
      </w:pPr>
      <w:rPr>
        <w:rFonts w:ascii="Wingdings" w:hAnsi="Wingdings" w:hint="default"/>
      </w:rPr>
    </w:lvl>
    <w:lvl w:ilvl="3" w:tplc="14090001" w:tentative="1">
      <w:start w:val="1"/>
      <w:numFmt w:val="bullet"/>
      <w:lvlText w:val=""/>
      <w:lvlJc w:val="left"/>
      <w:pPr>
        <w:ind w:left="3731" w:hanging="360"/>
      </w:pPr>
      <w:rPr>
        <w:rFonts w:ascii="Symbol" w:hAnsi="Symbol" w:hint="default"/>
      </w:rPr>
    </w:lvl>
    <w:lvl w:ilvl="4" w:tplc="14090003" w:tentative="1">
      <w:start w:val="1"/>
      <w:numFmt w:val="bullet"/>
      <w:lvlText w:val="o"/>
      <w:lvlJc w:val="left"/>
      <w:pPr>
        <w:ind w:left="4451" w:hanging="360"/>
      </w:pPr>
      <w:rPr>
        <w:rFonts w:ascii="Courier New" w:hAnsi="Courier New" w:cs="Courier New" w:hint="default"/>
      </w:rPr>
    </w:lvl>
    <w:lvl w:ilvl="5" w:tplc="14090005" w:tentative="1">
      <w:start w:val="1"/>
      <w:numFmt w:val="bullet"/>
      <w:lvlText w:val=""/>
      <w:lvlJc w:val="left"/>
      <w:pPr>
        <w:ind w:left="5171" w:hanging="360"/>
      </w:pPr>
      <w:rPr>
        <w:rFonts w:ascii="Wingdings" w:hAnsi="Wingdings" w:hint="default"/>
      </w:rPr>
    </w:lvl>
    <w:lvl w:ilvl="6" w:tplc="14090001" w:tentative="1">
      <w:start w:val="1"/>
      <w:numFmt w:val="bullet"/>
      <w:lvlText w:val=""/>
      <w:lvlJc w:val="left"/>
      <w:pPr>
        <w:ind w:left="5891" w:hanging="360"/>
      </w:pPr>
      <w:rPr>
        <w:rFonts w:ascii="Symbol" w:hAnsi="Symbol" w:hint="default"/>
      </w:rPr>
    </w:lvl>
    <w:lvl w:ilvl="7" w:tplc="14090003" w:tentative="1">
      <w:start w:val="1"/>
      <w:numFmt w:val="bullet"/>
      <w:lvlText w:val="o"/>
      <w:lvlJc w:val="left"/>
      <w:pPr>
        <w:ind w:left="6611" w:hanging="360"/>
      </w:pPr>
      <w:rPr>
        <w:rFonts w:ascii="Courier New" w:hAnsi="Courier New" w:cs="Courier New" w:hint="default"/>
      </w:rPr>
    </w:lvl>
    <w:lvl w:ilvl="8" w:tplc="14090005" w:tentative="1">
      <w:start w:val="1"/>
      <w:numFmt w:val="bullet"/>
      <w:lvlText w:val=""/>
      <w:lvlJc w:val="left"/>
      <w:pPr>
        <w:ind w:left="7331" w:hanging="360"/>
      </w:pPr>
      <w:rPr>
        <w:rFonts w:ascii="Wingdings" w:hAnsi="Wingdings" w:hint="default"/>
      </w:rPr>
    </w:lvl>
  </w:abstractNum>
  <w:abstractNum w:abstractNumId="40" w15:restartNumberingAfterBreak="0">
    <w:nsid w:val="71257888"/>
    <w:multiLevelType w:val="multilevel"/>
    <w:tmpl w:val="2AD6A89E"/>
    <w:lvl w:ilvl="0">
      <w:start w:val="1"/>
      <w:numFmt w:val="decimal"/>
      <w:pStyle w:val="Heading1"/>
      <w:lvlText w:val="%1"/>
      <w:lvlJc w:val="left"/>
      <w:pPr>
        <w:tabs>
          <w:tab w:val="num" w:pos="851"/>
        </w:tabs>
        <w:ind w:left="851" w:hanging="851"/>
      </w:pPr>
      <w:rPr>
        <w:rFonts w:hint="default"/>
      </w:rPr>
    </w:lvl>
    <w:lvl w:ilvl="1">
      <w:start w:val="1"/>
      <w:numFmt w:val="decimal"/>
      <w:pStyle w:val="Heading2"/>
      <w:lvlText w:val="%1.%2"/>
      <w:lvlJc w:val="left"/>
      <w:pPr>
        <w:tabs>
          <w:tab w:val="num" w:pos="851"/>
        </w:tabs>
        <w:ind w:left="851" w:hanging="851"/>
      </w:pPr>
      <w:rPr>
        <w:rFonts w:hint="default"/>
      </w:rPr>
    </w:lvl>
    <w:lvl w:ilvl="2">
      <w:start w:val="1"/>
      <w:numFmt w:val="decimal"/>
      <w:pStyle w:val="Heading3"/>
      <w:lvlText w:val="%1.%2.%3"/>
      <w:lvlJc w:val="left"/>
      <w:pPr>
        <w:tabs>
          <w:tab w:val="num" w:pos="851"/>
        </w:tabs>
        <w:ind w:left="851" w:hanging="851"/>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space"/>
      <w:lvlText w:val=""/>
      <w:lvlJc w:val="left"/>
      <w:pPr>
        <w:ind w:left="0" w:firstLine="0"/>
      </w:pPr>
      <w:rPr>
        <w:rFonts w:hint="default"/>
      </w:rPr>
    </w:lvl>
    <w:lvl w:ilvl="8">
      <w:start w:val="1"/>
      <w:numFmt w:val="none"/>
      <w:suff w:val="nothing"/>
      <w:lvlText w:val=""/>
      <w:lvlJc w:val="left"/>
      <w:pPr>
        <w:ind w:left="0" w:firstLine="0"/>
      </w:pPr>
      <w:rPr>
        <w:rFonts w:hint="default"/>
      </w:rPr>
    </w:lvl>
  </w:abstractNum>
  <w:num w:numId="1" w16cid:durableId="1966619090">
    <w:abstractNumId w:val="30"/>
  </w:num>
  <w:num w:numId="2" w16cid:durableId="270742435">
    <w:abstractNumId w:val="29"/>
  </w:num>
  <w:num w:numId="3" w16cid:durableId="1078750169">
    <w:abstractNumId w:val="31"/>
  </w:num>
  <w:num w:numId="4" w16cid:durableId="1362899617">
    <w:abstractNumId w:val="16"/>
  </w:num>
  <w:num w:numId="5" w16cid:durableId="585069947">
    <w:abstractNumId w:val="18"/>
  </w:num>
  <w:num w:numId="6" w16cid:durableId="1195311756">
    <w:abstractNumId w:val="14"/>
  </w:num>
  <w:num w:numId="7" w16cid:durableId="712534518">
    <w:abstractNumId w:val="27"/>
  </w:num>
  <w:num w:numId="8" w16cid:durableId="1409812322">
    <w:abstractNumId w:val="20"/>
  </w:num>
  <w:num w:numId="9" w16cid:durableId="1267889971">
    <w:abstractNumId w:val="10"/>
  </w:num>
  <w:num w:numId="10" w16cid:durableId="864950005">
    <w:abstractNumId w:val="36"/>
  </w:num>
  <w:num w:numId="11" w16cid:durableId="707342693">
    <w:abstractNumId w:val="25"/>
  </w:num>
  <w:num w:numId="12" w16cid:durableId="852184594">
    <w:abstractNumId w:val="23"/>
  </w:num>
  <w:num w:numId="13" w16cid:durableId="177695409">
    <w:abstractNumId w:val="37"/>
  </w:num>
  <w:num w:numId="14" w16cid:durableId="584532695">
    <w:abstractNumId w:val="22"/>
  </w:num>
  <w:num w:numId="15" w16cid:durableId="759134720">
    <w:abstractNumId w:val="1"/>
  </w:num>
  <w:num w:numId="16" w16cid:durableId="1831866062">
    <w:abstractNumId w:val="0"/>
  </w:num>
  <w:num w:numId="17" w16cid:durableId="774137574">
    <w:abstractNumId w:val="3"/>
  </w:num>
  <w:num w:numId="18" w16cid:durableId="1358198390">
    <w:abstractNumId w:val="2"/>
  </w:num>
  <w:num w:numId="19" w16cid:durableId="1428693464">
    <w:abstractNumId w:val="8"/>
  </w:num>
  <w:num w:numId="20" w16cid:durableId="17657038">
    <w:abstractNumId w:val="4"/>
  </w:num>
  <w:num w:numId="21" w16cid:durableId="1911501650">
    <w:abstractNumId w:val="6"/>
  </w:num>
  <w:num w:numId="22" w16cid:durableId="1528517804">
    <w:abstractNumId w:val="5"/>
  </w:num>
  <w:num w:numId="23" w16cid:durableId="1056929678">
    <w:abstractNumId w:val="9"/>
  </w:num>
  <w:num w:numId="24" w16cid:durableId="2016420982">
    <w:abstractNumId w:val="7"/>
  </w:num>
  <w:num w:numId="25" w16cid:durableId="30541774">
    <w:abstractNumId w:val="10"/>
  </w:num>
  <w:num w:numId="26" w16cid:durableId="153842725">
    <w:abstractNumId w:val="10"/>
  </w:num>
  <w:num w:numId="27" w16cid:durableId="1910574514">
    <w:abstractNumId w:val="10"/>
  </w:num>
  <w:num w:numId="28" w16cid:durableId="989017821">
    <w:abstractNumId w:val="33"/>
  </w:num>
  <w:num w:numId="29" w16cid:durableId="2015915632">
    <w:abstractNumId w:val="40"/>
  </w:num>
  <w:num w:numId="30" w16cid:durableId="1844737020">
    <w:abstractNumId w:val="32"/>
  </w:num>
  <w:num w:numId="31" w16cid:durableId="831726000">
    <w:abstractNumId w:val="38"/>
  </w:num>
  <w:num w:numId="32" w16cid:durableId="1643536118">
    <w:abstractNumId w:val="12"/>
  </w:num>
  <w:num w:numId="33" w16cid:durableId="969212714">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283118785">
    <w:abstractNumId w:val="15"/>
  </w:num>
  <w:num w:numId="35" w16cid:durableId="2108576898">
    <w:abstractNumId w:val="34"/>
  </w:num>
  <w:num w:numId="36" w16cid:durableId="610624336">
    <w:abstractNumId w:val="34"/>
    <w:lvlOverride w:ilvl="0">
      <w:lvl w:ilvl="0">
        <w:start w:val="1"/>
        <w:numFmt w:val="upperLetter"/>
        <w:suff w:val="space"/>
        <w:lvlText w:val="Appendix %1"/>
        <w:lvlJc w:val="left"/>
        <w:pPr>
          <w:ind w:left="0" w:firstLine="0"/>
        </w:pPr>
        <w:rPr>
          <w:rFonts w:hint="default"/>
        </w:rPr>
      </w:lvl>
    </w:lvlOverride>
    <w:lvlOverride w:ilvl="1">
      <w:lvl w:ilvl="1">
        <w:start w:val="1"/>
        <w:numFmt w:val="decimal"/>
        <w:lvlText w:val="%1.%2"/>
        <w:lvlJc w:val="left"/>
        <w:pPr>
          <w:ind w:left="0" w:firstLine="0"/>
        </w:pPr>
        <w:rPr>
          <w:rFonts w:hint="default"/>
        </w:rPr>
      </w:lvl>
    </w:lvlOverride>
  </w:num>
  <w:num w:numId="37" w16cid:durableId="974724959">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2022535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2032409385">
    <w:abstractNumId w:val="24"/>
  </w:num>
  <w:num w:numId="40" w16cid:durableId="378167264">
    <w:abstractNumId w:val="19"/>
  </w:num>
  <w:num w:numId="41" w16cid:durableId="794446115">
    <w:abstractNumId w:val="35"/>
  </w:num>
  <w:num w:numId="42" w16cid:durableId="998845842">
    <w:abstractNumId w:val="39"/>
  </w:num>
  <w:num w:numId="43" w16cid:durableId="1558316656">
    <w:abstractNumId w:val="17"/>
  </w:num>
  <w:num w:numId="44" w16cid:durableId="1597711614">
    <w:abstractNumId w:val="13"/>
  </w:num>
  <w:num w:numId="45" w16cid:durableId="948195929">
    <w:abstractNumId w:val="11"/>
  </w:num>
  <w:num w:numId="46" w16cid:durableId="755369594">
    <w:abstractNumId w:val="26"/>
  </w:num>
  <w:num w:numId="47" w16cid:durableId="196045663">
    <w:abstractNumId w:val="28"/>
  </w:num>
  <w:num w:numId="48" w16cid:durableId="632561975">
    <w:abstractNumId w:val="2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2"/>
  <w:removeDateAndTime/>
  <w:defaultTabStop w:val="425"/>
  <w:defaultTableStyle w:val="TableDefault"/>
  <w:characterSpacingControl w:val="doNotCompress"/>
  <w:hdrShapeDefaults>
    <o:shapedefaults v:ext="edit" spidmax="2050" style="mso-position-horizontal:center;mso-position-horizontal-relative:margin;mso-position-vertical:center;mso-position-vertical-relative:margin" o:allowincell="f" fillcolor="silver" stroke="f">
      <v:fill color="silver" opacity=".5"/>
      <v:stroke on="f"/>
    </o:shapedefaults>
    <o:shapelayout v:ext="edit">
      <o:idmap v:ext="edit" data="1"/>
    </o:shapelayout>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0tLQ0NjAxsDA0NzAzMDRQ0lEKTi0uzszPAykwMq8FAOrcBkktAAAA"/>
    <w:docVar w:name="ContentsAppendix" w:val="1"/>
    <w:docVar w:name="ContentsAppendixLevel" w:val="1"/>
    <w:docVar w:name="ContentsCreated" w:val="1"/>
    <w:docVar w:name="ContentsFigure" w:val="1"/>
    <w:docVar w:name="ContentsMain" w:val="1"/>
    <w:docVar w:name="ContentsMainLevel" w:val="1"/>
    <w:docVar w:name="ContentsTable" w:val="1"/>
    <w:docVar w:name="DocumentStatus" w:val="DRAFT"/>
    <w:docVar w:name="IsA3Sections" w:val="False"/>
    <w:docVar w:name="IsfirstTb" w:val="True"/>
    <w:docVar w:name="IsInTable" w:val="False"/>
    <w:docVar w:name="rptAddress" w:val=" "/>
    <w:docVar w:name="rptAttention" w:val=" "/>
    <w:docVar w:name="rptAttentionTitle" w:val=" "/>
    <w:docVar w:name="rptAuthorName" w:val=" "/>
    <w:docVar w:name="rptAuthorName2" w:val=" "/>
    <w:docVar w:name="rptAuthorTitle" w:val=" "/>
    <w:docVar w:name="rptAuthorTitle2" w:val=" "/>
    <w:docVar w:name="rptByEmail" w:val=" "/>
    <w:docVar w:name="rptCC" w:val=" "/>
    <w:docVar w:name="rptChkByEmail" w:val="True"/>
    <w:docVar w:name="rptClosing" w:val=" "/>
    <w:docVar w:name="rptClosing0" w:val=" "/>
    <w:docVar w:name="rptCommercialInConfidence" w:val="Commercial In Confidence"/>
    <w:docVar w:name="rptCoverImage" w:val=" "/>
    <w:docVar w:name="rptDate" w:val="10 March 2014"/>
    <w:docVar w:name="rptDDI" w:val=" "/>
    <w:docVar w:name="rptDDI2" w:val=" "/>
    <w:docVar w:name="rptEmail" w:val=" "/>
    <w:docVar w:name="rptEmail2" w:val=" "/>
    <w:docVar w:name="rptEnclosures" w:val=" "/>
    <w:docVar w:name="rptFax" w:val=" "/>
    <w:docVar w:name="rptFax2" w:val=" "/>
    <w:docVar w:name="rptGreeting" w:val=" "/>
    <w:docVar w:name="rptGreeting0" w:val=" "/>
    <w:docVar w:name="rptGreetingText" w:val=" "/>
    <w:docVar w:name="rptInsertLogo" w:val="False"/>
    <w:docVar w:name="rptInsertSignature" w:val="True"/>
    <w:docVar w:name="rptLetterImageFile" w:val=" "/>
    <w:docVar w:name="rptLetterImageFile2" w:val=" "/>
    <w:docVar w:name="rptMobile" w:val=" "/>
    <w:docVar w:name="rptMobile2" w:val=" "/>
    <w:docVar w:name="rptOffice" w:val=" "/>
    <w:docVar w:name="rptOffice2" w:val=" "/>
    <w:docVar w:name="rptPrintPhysical" w:val="False"/>
    <w:docVar w:name="rptProposalDate" w:val=" "/>
    <w:docVar w:name="rptProposalSubtitle" w:val=" "/>
    <w:docVar w:name="rptProposalTitle" w:val=" "/>
    <w:docVar w:name="rptSalutation" w:val=" "/>
    <w:docVar w:name="rptSignOff" w:val=" "/>
    <w:docVar w:name="rptSignOff0" w:val=" "/>
    <w:docVar w:name="rptStatus" w:val=" "/>
    <w:docVar w:name="rptSubject" w:val=" "/>
    <w:docVar w:name="ShowDraft" w:val="True"/>
    <w:docVar w:name="ShowSaveDate" w:val="True"/>
  </w:docVars>
  <w:rsids>
    <w:rsidRoot w:val="0051281F"/>
    <w:rsid w:val="0000023F"/>
    <w:rsid w:val="0000031E"/>
    <w:rsid w:val="00000BE7"/>
    <w:rsid w:val="000010B6"/>
    <w:rsid w:val="000012B2"/>
    <w:rsid w:val="0000158E"/>
    <w:rsid w:val="00001739"/>
    <w:rsid w:val="00001EB4"/>
    <w:rsid w:val="00002483"/>
    <w:rsid w:val="0000319E"/>
    <w:rsid w:val="00003511"/>
    <w:rsid w:val="00003C08"/>
    <w:rsid w:val="000040C9"/>
    <w:rsid w:val="000043B8"/>
    <w:rsid w:val="000056D7"/>
    <w:rsid w:val="00005B4C"/>
    <w:rsid w:val="00006779"/>
    <w:rsid w:val="000067D0"/>
    <w:rsid w:val="0000687E"/>
    <w:rsid w:val="00006DC6"/>
    <w:rsid w:val="00007816"/>
    <w:rsid w:val="00007B78"/>
    <w:rsid w:val="00010134"/>
    <w:rsid w:val="000118CB"/>
    <w:rsid w:val="00012BF0"/>
    <w:rsid w:val="00013141"/>
    <w:rsid w:val="000131AA"/>
    <w:rsid w:val="0001373C"/>
    <w:rsid w:val="00014308"/>
    <w:rsid w:val="0001513D"/>
    <w:rsid w:val="000151BC"/>
    <w:rsid w:val="00015271"/>
    <w:rsid w:val="000155DD"/>
    <w:rsid w:val="00016426"/>
    <w:rsid w:val="00016988"/>
    <w:rsid w:val="00016D93"/>
    <w:rsid w:val="0001709A"/>
    <w:rsid w:val="00017352"/>
    <w:rsid w:val="0001792B"/>
    <w:rsid w:val="00020025"/>
    <w:rsid w:val="00020C8A"/>
    <w:rsid w:val="0002162B"/>
    <w:rsid w:val="00021959"/>
    <w:rsid w:val="00021A66"/>
    <w:rsid w:val="00021D93"/>
    <w:rsid w:val="00021E29"/>
    <w:rsid w:val="00022A71"/>
    <w:rsid w:val="00023BBC"/>
    <w:rsid w:val="00024FA1"/>
    <w:rsid w:val="0002531D"/>
    <w:rsid w:val="00025609"/>
    <w:rsid w:val="000261F7"/>
    <w:rsid w:val="00026AE2"/>
    <w:rsid w:val="00026DBD"/>
    <w:rsid w:val="00026FFE"/>
    <w:rsid w:val="0002701A"/>
    <w:rsid w:val="000276F6"/>
    <w:rsid w:val="000302FE"/>
    <w:rsid w:val="000312D1"/>
    <w:rsid w:val="0003161B"/>
    <w:rsid w:val="0003209C"/>
    <w:rsid w:val="000325FC"/>
    <w:rsid w:val="00034332"/>
    <w:rsid w:val="000350EE"/>
    <w:rsid w:val="000374ED"/>
    <w:rsid w:val="00037A3A"/>
    <w:rsid w:val="000401C4"/>
    <w:rsid w:val="0004044B"/>
    <w:rsid w:val="00040694"/>
    <w:rsid w:val="00040BC2"/>
    <w:rsid w:val="00040D91"/>
    <w:rsid w:val="00041336"/>
    <w:rsid w:val="00041DFB"/>
    <w:rsid w:val="00042072"/>
    <w:rsid w:val="00042A7F"/>
    <w:rsid w:val="0004561A"/>
    <w:rsid w:val="000460C4"/>
    <w:rsid w:val="00046F42"/>
    <w:rsid w:val="00047B5B"/>
    <w:rsid w:val="00050840"/>
    <w:rsid w:val="0005105D"/>
    <w:rsid w:val="0005109E"/>
    <w:rsid w:val="0005124A"/>
    <w:rsid w:val="000515ED"/>
    <w:rsid w:val="00052520"/>
    <w:rsid w:val="00053686"/>
    <w:rsid w:val="0005488C"/>
    <w:rsid w:val="000554B4"/>
    <w:rsid w:val="00055D9F"/>
    <w:rsid w:val="00056C08"/>
    <w:rsid w:val="00057221"/>
    <w:rsid w:val="00057524"/>
    <w:rsid w:val="00060006"/>
    <w:rsid w:val="00061478"/>
    <w:rsid w:val="000618B0"/>
    <w:rsid w:val="0006200D"/>
    <w:rsid w:val="000628B4"/>
    <w:rsid w:val="000629D2"/>
    <w:rsid w:val="0006300A"/>
    <w:rsid w:val="000632B2"/>
    <w:rsid w:val="00063FDE"/>
    <w:rsid w:val="00064A82"/>
    <w:rsid w:val="00065320"/>
    <w:rsid w:val="00065D75"/>
    <w:rsid w:val="00066C3B"/>
    <w:rsid w:val="00067AB2"/>
    <w:rsid w:val="00067D5D"/>
    <w:rsid w:val="00067F84"/>
    <w:rsid w:val="00070EA1"/>
    <w:rsid w:val="00071702"/>
    <w:rsid w:val="00071FDC"/>
    <w:rsid w:val="0007232B"/>
    <w:rsid w:val="000725AC"/>
    <w:rsid w:val="00072649"/>
    <w:rsid w:val="00073180"/>
    <w:rsid w:val="000736E4"/>
    <w:rsid w:val="00074483"/>
    <w:rsid w:val="00074490"/>
    <w:rsid w:val="0007449B"/>
    <w:rsid w:val="00074B51"/>
    <w:rsid w:val="00074BB9"/>
    <w:rsid w:val="00074F80"/>
    <w:rsid w:val="00075E74"/>
    <w:rsid w:val="00076480"/>
    <w:rsid w:val="0008144E"/>
    <w:rsid w:val="00081960"/>
    <w:rsid w:val="00082006"/>
    <w:rsid w:val="00082A7C"/>
    <w:rsid w:val="000837A6"/>
    <w:rsid w:val="00083EB5"/>
    <w:rsid w:val="00085291"/>
    <w:rsid w:val="00085373"/>
    <w:rsid w:val="00085A77"/>
    <w:rsid w:val="000862A0"/>
    <w:rsid w:val="000867F2"/>
    <w:rsid w:val="00086ACF"/>
    <w:rsid w:val="00086D70"/>
    <w:rsid w:val="00087449"/>
    <w:rsid w:val="00087550"/>
    <w:rsid w:val="0009078A"/>
    <w:rsid w:val="000911A4"/>
    <w:rsid w:val="00091D24"/>
    <w:rsid w:val="000925FB"/>
    <w:rsid w:val="00092F6C"/>
    <w:rsid w:val="00093274"/>
    <w:rsid w:val="00093344"/>
    <w:rsid w:val="0009338E"/>
    <w:rsid w:val="000936E9"/>
    <w:rsid w:val="00093F4A"/>
    <w:rsid w:val="00094858"/>
    <w:rsid w:val="0009504B"/>
    <w:rsid w:val="000954E0"/>
    <w:rsid w:val="00095759"/>
    <w:rsid w:val="00095C5B"/>
    <w:rsid w:val="000979C4"/>
    <w:rsid w:val="00097C0D"/>
    <w:rsid w:val="00097F3B"/>
    <w:rsid w:val="000A0514"/>
    <w:rsid w:val="000A066E"/>
    <w:rsid w:val="000A0920"/>
    <w:rsid w:val="000A0E5F"/>
    <w:rsid w:val="000A1F7E"/>
    <w:rsid w:val="000A30F5"/>
    <w:rsid w:val="000A364D"/>
    <w:rsid w:val="000A390E"/>
    <w:rsid w:val="000A425B"/>
    <w:rsid w:val="000A4851"/>
    <w:rsid w:val="000A55E9"/>
    <w:rsid w:val="000B08F5"/>
    <w:rsid w:val="000B1280"/>
    <w:rsid w:val="000B144D"/>
    <w:rsid w:val="000B2011"/>
    <w:rsid w:val="000B223A"/>
    <w:rsid w:val="000B34FA"/>
    <w:rsid w:val="000B3F67"/>
    <w:rsid w:val="000B4F7B"/>
    <w:rsid w:val="000B6302"/>
    <w:rsid w:val="000C0E27"/>
    <w:rsid w:val="000C2A6D"/>
    <w:rsid w:val="000C3D54"/>
    <w:rsid w:val="000C3D9A"/>
    <w:rsid w:val="000C4B65"/>
    <w:rsid w:val="000C5447"/>
    <w:rsid w:val="000C56B0"/>
    <w:rsid w:val="000C6655"/>
    <w:rsid w:val="000C70AC"/>
    <w:rsid w:val="000C798F"/>
    <w:rsid w:val="000C7E21"/>
    <w:rsid w:val="000C7F20"/>
    <w:rsid w:val="000D0D69"/>
    <w:rsid w:val="000D178A"/>
    <w:rsid w:val="000D198F"/>
    <w:rsid w:val="000D2834"/>
    <w:rsid w:val="000D3222"/>
    <w:rsid w:val="000D3527"/>
    <w:rsid w:val="000D3545"/>
    <w:rsid w:val="000D3802"/>
    <w:rsid w:val="000D4047"/>
    <w:rsid w:val="000D4279"/>
    <w:rsid w:val="000D5193"/>
    <w:rsid w:val="000D545E"/>
    <w:rsid w:val="000D7246"/>
    <w:rsid w:val="000D753D"/>
    <w:rsid w:val="000E029E"/>
    <w:rsid w:val="000E02DE"/>
    <w:rsid w:val="000E0E71"/>
    <w:rsid w:val="000E0F75"/>
    <w:rsid w:val="000E2001"/>
    <w:rsid w:val="000E2710"/>
    <w:rsid w:val="000E28A3"/>
    <w:rsid w:val="000E3006"/>
    <w:rsid w:val="000E3AB6"/>
    <w:rsid w:val="000E43D7"/>
    <w:rsid w:val="000E506B"/>
    <w:rsid w:val="000E7259"/>
    <w:rsid w:val="000F01BA"/>
    <w:rsid w:val="000F18D4"/>
    <w:rsid w:val="000F1C41"/>
    <w:rsid w:val="000F2277"/>
    <w:rsid w:val="000F3136"/>
    <w:rsid w:val="000F3FDD"/>
    <w:rsid w:val="000F4C76"/>
    <w:rsid w:val="000F5159"/>
    <w:rsid w:val="000F5B2D"/>
    <w:rsid w:val="000F5B6F"/>
    <w:rsid w:val="000F5E7F"/>
    <w:rsid w:val="000F6507"/>
    <w:rsid w:val="000F6CF2"/>
    <w:rsid w:val="000F6D5A"/>
    <w:rsid w:val="000F70D0"/>
    <w:rsid w:val="00100340"/>
    <w:rsid w:val="00100687"/>
    <w:rsid w:val="0010188C"/>
    <w:rsid w:val="00101962"/>
    <w:rsid w:val="00101C82"/>
    <w:rsid w:val="001021BE"/>
    <w:rsid w:val="00102CAE"/>
    <w:rsid w:val="00102DD7"/>
    <w:rsid w:val="0010324E"/>
    <w:rsid w:val="001035EF"/>
    <w:rsid w:val="00103CC1"/>
    <w:rsid w:val="00103CDD"/>
    <w:rsid w:val="0010471A"/>
    <w:rsid w:val="001047EE"/>
    <w:rsid w:val="001061FE"/>
    <w:rsid w:val="001062F5"/>
    <w:rsid w:val="001064B2"/>
    <w:rsid w:val="00107185"/>
    <w:rsid w:val="00110269"/>
    <w:rsid w:val="00110891"/>
    <w:rsid w:val="00111828"/>
    <w:rsid w:val="00111BF7"/>
    <w:rsid w:val="00111EF2"/>
    <w:rsid w:val="00111F0A"/>
    <w:rsid w:val="001120BC"/>
    <w:rsid w:val="001120C2"/>
    <w:rsid w:val="0011324F"/>
    <w:rsid w:val="00113486"/>
    <w:rsid w:val="001136DE"/>
    <w:rsid w:val="0011465F"/>
    <w:rsid w:val="00114716"/>
    <w:rsid w:val="00114A87"/>
    <w:rsid w:val="00114BB0"/>
    <w:rsid w:val="001158D4"/>
    <w:rsid w:val="00115BF4"/>
    <w:rsid w:val="00115C90"/>
    <w:rsid w:val="00116000"/>
    <w:rsid w:val="0011726B"/>
    <w:rsid w:val="00117826"/>
    <w:rsid w:val="001211FC"/>
    <w:rsid w:val="00121385"/>
    <w:rsid w:val="001213D7"/>
    <w:rsid w:val="001215F4"/>
    <w:rsid w:val="00121913"/>
    <w:rsid w:val="00121B1D"/>
    <w:rsid w:val="001220C9"/>
    <w:rsid w:val="00122ECA"/>
    <w:rsid w:val="001232FB"/>
    <w:rsid w:val="00123BD8"/>
    <w:rsid w:val="00123D99"/>
    <w:rsid w:val="001240CD"/>
    <w:rsid w:val="00124446"/>
    <w:rsid w:val="00124A90"/>
    <w:rsid w:val="00124DA3"/>
    <w:rsid w:val="001251B0"/>
    <w:rsid w:val="001274FB"/>
    <w:rsid w:val="00130176"/>
    <w:rsid w:val="001304E2"/>
    <w:rsid w:val="00130F29"/>
    <w:rsid w:val="001312BA"/>
    <w:rsid w:val="001314D9"/>
    <w:rsid w:val="00132037"/>
    <w:rsid w:val="00132269"/>
    <w:rsid w:val="00132486"/>
    <w:rsid w:val="001332A3"/>
    <w:rsid w:val="001334DB"/>
    <w:rsid w:val="001335C8"/>
    <w:rsid w:val="001343DF"/>
    <w:rsid w:val="00134D60"/>
    <w:rsid w:val="001357F3"/>
    <w:rsid w:val="00135902"/>
    <w:rsid w:val="0013636D"/>
    <w:rsid w:val="00136AA7"/>
    <w:rsid w:val="00137AF4"/>
    <w:rsid w:val="00137B42"/>
    <w:rsid w:val="00141529"/>
    <w:rsid w:val="00142828"/>
    <w:rsid w:val="00143103"/>
    <w:rsid w:val="00143BEC"/>
    <w:rsid w:val="0014473F"/>
    <w:rsid w:val="00144D1E"/>
    <w:rsid w:val="00145C03"/>
    <w:rsid w:val="001461AC"/>
    <w:rsid w:val="001464CA"/>
    <w:rsid w:val="00146817"/>
    <w:rsid w:val="00147BC6"/>
    <w:rsid w:val="00147D02"/>
    <w:rsid w:val="00150501"/>
    <w:rsid w:val="001506B6"/>
    <w:rsid w:val="001512D4"/>
    <w:rsid w:val="001514D3"/>
    <w:rsid w:val="00151C61"/>
    <w:rsid w:val="00151FC9"/>
    <w:rsid w:val="001525A3"/>
    <w:rsid w:val="00153561"/>
    <w:rsid w:val="001538B2"/>
    <w:rsid w:val="00153EBD"/>
    <w:rsid w:val="001542BB"/>
    <w:rsid w:val="001546C1"/>
    <w:rsid w:val="00154B65"/>
    <w:rsid w:val="00156445"/>
    <w:rsid w:val="00156F81"/>
    <w:rsid w:val="00157095"/>
    <w:rsid w:val="00157578"/>
    <w:rsid w:val="0015792A"/>
    <w:rsid w:val="00157D6F"/>
    <w:rsid w:val="00160177"/>
    <w:rsid w:val="00160C00"/>
    <w:rsid w:val="00160F24"/>
    <w:rsid w:val="001621DC"/>
    <w:rsid w:val="001629C8"/>
    <w:rsid w:val="00163703"/>
    <w:rsid w:val="00163ED2"/>
    <w:rsid w:val="0016438D"/>
    <w:rsid w:val="001650D5"/>
    <w:rsid w:val="001651C3"/>
    <w:rsid w:val="00166054"/>
    <w:rsid w:val="001668C5"/>
    <w:rsid w:val="00166CE5"/>
    <w:rsid w:val="001679A1"/>
    <w:rsid w:val="001718B1"/>
    <w:rsid w:val="00171D46"/>
    <w:rsid w:val="00172021"/>
    <w:rsid w:val="001727AA"/>
    <w:rsid w:val="001727DA"/>
    <w:rsid w:val="001730A4"/>
    <w:rsid w:val="001734E0"/>
    <w:rsid w:val="00174036"/>
    <w:rsid w:val="001746E6"/>
    <w:rsid w:val="001749B4"/>
    <w:rsid w:val="001763D5"/>
    <w:rsid w:val="00176550"/>
    <w:rsid w:val="00176D21"/>
    <w:rsid w:val="00177A67"/>
    <w:rsid w:val="00180712"/>
    <w:rsid w:val="00180807"/>
    <w:rsid w:val="00180B6B"/>
    <w:rsid w:val="0018165D"/>
    <w:rsid w:val="0018197E"/>
    <w:rsid w:val="0018276C"/>
    <w:rsid w:val="00182EFA"/>
    <w:rsid w:val="00183CB7"/>
    <w:rsid w:val="001841DF"/>
    <w:rsid w:val="00184380"/>
    <w:rsid w:val="00184BB9"/>
    <w:rsid w:val="00184E24"/>
    <w:rsid w:val="00185909"/>
    <w:rsid w:val="00186781"/>
    <w:rsid w:val="00186A8C"/>
    <w:rsid w:val="00187A66"/>
    <w:rsid w:val="00190864"/>
    <w:rsid w:val="00190DD3"/>
    <w:rsid w:val="00192F82"/>
    <w:rsid w:val="0019355B"/>
    <w:rsid w:val="00193924"/>
    <w:rsid w:val="00193B08"/>
    <w:rsid w:val="00194F58"/>
    <w:rsid w:val="001950CD"/>
    <w:rsid w:val="001959A3"/>
    <w:rsid w:val="001968F3"/>
    <w:rsid w:val="00196FD8"/>
    <w:rsid w:val="00197E23"/>
    <w:rsid w:val="001A03A5"/>
    <w:rsid w:val="001A041A"/>
    <w:rsid w:val="001A0CB8"/>
    <w:rsid w:val="001A0EA4"/>
    <w:rsid w:val="001A14E3"/>
    <w:rsid w:val="001A1B65"/>
    <w:rsid w:val="001A249C"/>
    <w:rsid w:val="001A2CF5"/>
    <w:rsid w:val="001A3537"/>
    <w:rsid w:val="001A3EDE"/>
    <w:rsid w:val="001A4B68"/>
    <w:rsid w:val="001A4E54"/>
    <w:rsid w:val="001A56E6"/>
    <w:rsid w:val="001A62A8"/>
    <w:rsid w:val="001A64C8"/>
    <w:rsid w:val="001A66E9"/>
    <w:rsid w:val="001A698C"/>
    <w:rsid w:val="001A6AF1"/>
    <w:rsid w:val="001A6FB1"/>
    <w:rsid w:val="001A78BC"/>
    <w:rsid w:val="001A795A"/>
    <w:rsid w:val="001A7F14"/>
    <w:rsid w:val="001B0287"/>
    <w:rsid w:val="001B12D0"/>
    <w:rsid w:val="001B16C6"/>
    <w:rsid w:val="001B2A5E"/>
    <w:rsid w:val="001B2BB2"/>
    <w:rsid w:val="001B3134"/>
    <w:rsid w:val="001B3D7B"/>
    <w:rsid w:val="001B3FE7"/>
    <w:rsid w:val="001B47E2"/>
    <w:rsid w:val="001B581F"/>
    <w:rsid w:val="001B5C1C"/>
    <w:rsid w:val="001B5EBB"/>
    <w:rsid w:val="001B6268"/>
    <w:rsid w:val="001B6A4D"/>
    <w:rsid w:val="001B789A"/>
    <w:rsid w:val="001C0653"/>
    <w:rsid w:val="001C1DE9"/>
    <w:rsid w:val="001C266A"/>
    <w:rsid w:val="001C2999"/>
    <w:rsid w:val="001C2E9C"/>
    <w:rsid w:val="001C4637"/>
    <w:rsid w:val="001C4B46"/>
    <w:rsid w:val="001C4F87"/>
    <w:rsid w:val="001C5318"/>
    <w:rsid w:val="001C5646"/>
    <w:rsid w:val="001C6918"/>
    <w:rsid w:val="001C718F"/>
    <w:rsid w:val="001C7DC4"/>
    <w:rsid w:val="001D07E3"/>
    <w:rsid w:val="001D0C13"/>
    <w:rsid w:val="001D1A4D"/>
    <w:rsid w:val="001D1D4D"/>
    <w:rsid w:val="001D22C5"/>
    <w:rsid w:val="001D24BD"/>
    <w:rsid w:val="001D2A69"/>
    <w:rsid w:val="001D3098"/>
    <w:rsid w:val="001D3DE5"/>
    <w:rsid w:val="001D4336"/>
    <w:rsid w:val="001D5002"/>
    <w:rsid w:val="001D6182"/>
    <w:rsid w:val="001D6964"/>
    <w:rsid w:val="001D6D9F"/>
    <w:rsid w:val="001D7570"/>
    <w:rsid w:val="001D7696"/>
    <w:rsid w:val="001D782D"/>
    <w:rsid w:val="001E0956"/>
    <w:rsid w:val="001E0CCF"/>
    <w:rsid w:val="001E229F"/>
    <w:rsid w:val="001E2E13"/>
    <w:rsid w:val="001E4CEA"/>
    <w:rsid w:val="001E567D"/>
    <w:rsid w:val="001E5D8F"/>
    <w:rsid w:val="001E6112"/>
    <w:rsid w:val="001E68D7"/>
    <w:rsid w:val="001E6EFD"/>
    <w:rsid w:val="001E757F"/>
    <w:rsid w:val="001E7A02"/>
    <w:rsid w:val="001E7C2C"/>
    <w:rsid w:val="001F13A7"/>
    <w:rsid w:val="001F15B9"/>
    <w:rsid w:val="001F316B"/>
    <w:rsid w:val="001F323D"/>
    <w:rsid w:val="001F49F3"/>
    <w:rsid w:val="001F56F7"/>
    <w:rsid w:val="001F5E3D"/>
    <w:rsid w:val="001F75EC"/>
    <w:rsid w:val="001F7861"/>
    <w:rsid w:val="0020022D"/>
    <w:rsid w:val="0020054D"/>
    <w:rsid w:val="002023FE"/>
    <w:rsid w:val="002031AB"/>
    <w:rsid w:val="00204BAC"/>
    <w:rsid w:val="00204DC5"/>
    <w:rsid w:val="00204ED7"/>
    <w:rsid w:val="00205157"/>
    <w:rsid w:val="002053A0"/>
    <w:rsid w:val="0020597D"/>
    <w:rsid w:val="00205C9E"/>
    <w:rsid w:val="00206562"/>
    <w:rsid w:val="00206886"/>
    <w:rsid w:val="00206BC2"/>
    <w:rsid w:val="00207992"/>
    <w:rsid w:val="002079AF"/>
    <w:rsid w:val="00210582"/>
    <w:rsid w:val="00211FCC"/>
    <w:rsid w:val="002122FE"/>
    <w:rsid w:val="002123A0"/>
    <w:rsid w:val="00213318"/>
    <w:rsid w:val="002134A5"/>
    <w:rsid w:val="00214839"/>
    <w:rsid w:val="00214D3B"/>
    <w:rsid w:val="00215ECF"/>
    <w:rsid w:val="00216053"/>
    <w:rsid w:val="00216D2F"/>
    <w:rsid w:val="00222DC2"/>
    <w:rsid w:val="0022317E"/>
    <w:rsid w:val="00224036"/>
    <w:rsid w:val="00225247"/>
    <w:rsid w:val="00225D24"/>
    <w:rsid w:val="0022693D"/>
    <w:rsid w:val="0022743A"/>
    <w:rsid w:val="002276BE"/>
    <w:rsid w:val="0023026F"/>
    <w:rsid w:val="00230D9B"/>
    <w:rsid w:val="00231311"/>
    <w:rsid w:val="00231313"/>
    <w:rsid w:val="002315B8"/>
    <w:rsid w:val="002315B9"/>
    <w:rsid w:val="00231605"/>
    <w:rsid w:val="00232234"/>
    <w:rsid w:val="0023273A"/>
    <w:rsid w:val="002331C1"/>
    <w:rsid w:val="00233D8D"/>
    <w:rsid w:val="00233F3B"/>
    <w:rsid w:val="00234FDA"/>
    <w:rsid w:val="002351EC"/>
    <w:rsid w:val="00235421"/>
    <w:rsid w:val="002374E1"/>
    <w:rsid w:val="002408DD"/>
    <w:rsid w:val="00240904"/>
    <w:rsid w:val="00241370"/>
    <w:rsid w:val="00241EB7"/>
    <w:rsid w:val="00242816"/>
    <w:rsid w:val="00242FAB"/>
    <w:rsid w:val="00243612"/>
    <w:rsid w:val="00243AF7"/>
    <w:rsid w:val="00244175"/>
    <w:rsid w:val="0024567E"/>
    <w:rsid w:val="00246B70"/>
    <w:rsid w:val="00246B84"/>
    <w:rsid w:val="00246CD8"/>
    <w:rsid w:val="00247501"/>
    <w:rsid w:val="0024751B"/>
    <w:rsid w:val="00247ED9"/>
    <w:rsid w:val="00251461"/>
    <w:rsid w:val="002516B4"/>
    <w:rsid w:val="00253EE3"/>
    <w:rsid w:val="002549A1"/>
    <w:rsid w:val="002551BD"/>
    <w:rsid w:val="0025580B"/>
    <w:rsid w:val="0025599E"/>
    <w:rsid w:val="002566FC"/>
    <w:rsid w:val="00257495"/>
    <w:rsid w:val="002575AC"/>
    <w:rsid w:val="0025783C"/>
    <w:rsid w:val="00260B69"/>
    <w:rsid w:val="00260BE1"/>
    <w:rsid w:val="00260F5E"/>
    <w:rsid w:val="00262225"/>
    <w:rsid w:val="002624DE"/>
    <w:rsid w:val="002644F0"/>
    <w:rsid w:val="002649B6"/>
    <w:rsid w:val="002650D3"/>
    <w:rsid w:val="0026555C"/>
    <w:rsid w:val="00266503"/>
    <w:rsid w:val="00267BAF"/>
    <w:rsid w:val="002714BB"/>
    <w:rsid w:val="00271AA6"/>
    <w:rsid w:val="00271EF3"/>
    <w:rsid w:val="002724B4"/>
    <w:rsid w:val="0027326E"/>
    <w:rsid w:val="00273D60"/>
    <w:rsid w:val="0027649B"/>
    <w:rsid w:val="00277045"/>
    <w:rsid w:val="00277933"/>
    <w:rsid w:val="00280781"/>
    <w:rsid w:val="002808EE"/>
    <w:rsid w:val="00280AB2"/>
    <w:rsid w:val="00281FDD"/>
    <w:rsid w:val="0028253A"/>
    <w:rsid w:val="00282711"/>
    <w:rsid w:val="002828AE"/>
    <w:rsid w:val="00285AF2"/>
    <w:rsid w:val="0028624A"/>
    <w:rsid w:val="002870B0"/>
    <w:rsid w:val="00287BD7"/>
    <w:rsid w:val="002909E6"/>
    <w:rsid w:val="002911DD"/>
    <w:rsid w:val="002920AB"/>
    <w:rsid w:val="002926EA"/>
    <w:rsid w:val="002928F4"/>
    <w:rsid w:val="0029326F"/>
    <w:rsid w:val="002932A9"/>
    <w:rsid w:val="002936DC"/>
    <w:rsid w:val="0029475A"/>
    <w:rsid w:val="0029493E"/>
    <w:rsid w:val="00294A10"/>
    <w:rsid w:val="00294E5D"/>
    <w:rsid w:val="0029730F"/>
    <w:rsid w:val="002979EB"/>
    <w:rsid w:val="002A0C63"/>
    <w:rsid w:val="002A1362"/>
    <w:rsid w:val="002A1935"/>
    <w:rsid w:val="002A219B"/>
    <w:rsid w:val="002A2422"/>
    <w:rsid w:val="002A2489"/>
    <w:rsid w:val="002A275A"/>
    <w:rsid w:val="002A2893"/>
    <w:rsid w:val="002A30CE"/>
    <w:rsid w:val="002A3192"/>
    <w:rsid w:val="002A372B"/>
    <w:rsid w:val="002A3AF1"/>
    <w:rsid w:val="002A3FA4"/>
    <w:rsid w:val="002A4492"/>
    <w:rsid w:val="002A501B"/>
    <w:rsid w:val="002A5366"/>
    <w:rsid w:val="002A59DA"/>
    <w:rsid w:val="002A5E21"/>
    <w:rsid w:val="002A6354"/>
    <w:rsid w:val="002A724D"/>
    <w:rsid w:val="002A7C8B"/>
    <w:rsid w:val="002A7E57"/>
    <w:rsid w:val="002B0385"/>
    <w:rsid w:val="002B058C"/>
    <w:rsid w:val="002B0E2E"/>
    <w:rsid w:val="002B16A2"/>
    <w:rsid w:val="002B1BF5"/>
    <w:rsid w:val="002B2099"/>
    <w:rsid w:val="002B20EA"/>
    <w:rsid w:val="002B24DC"/>
    <w:rsid w:val="002B2589"/>
    <w:rsid w:val="002B333E"/>
    <w:rsid w:val="002B34F2"/>
    <w:rsid w:val="002B4899"/>
    <w:rsid w:val="002B490F"/>
    <w:rsid w:val="002B50E2"/>
    <w:rsid w:val="002B52C2"/>
    <w:rsid w:val="002B63D3"/>
    <w:rsid w:val="002B69B9"/>
    <w:rsid w:val="002B7396"/>
    <w:rsid w:val="002B7C24"/>
    <w:rsid w:val="002C1078"/>
    <w:rsid w:val="002C1A0A"/>
    <w:rsid w:val="002C2268"/>
    <w:rsid w:val="002C22B4"/>
    <w:rsid w:val="002C22E6"/>
    <w:rsid w:val="002C2619"/>
    <w:rsid w:val="002C37DF"/>
    <w:rsid w:val="002C394E"/>
    <w:rsid w:val="002C4A14"/>
    <w:rsid w:val="002C4F5E"/>
    <w:rsid w:val="002C63B7"/>
    <w:rsid w:val="002C7E8D"/>
    <w:rsid w:val="002C7F94"/>
    <w:rsid w:val="002D00EF"/>
    <w:rsid w:val="002D03E0"/>
    <w:rsid w:val="002D17D7"/>
    <w:rsid w:val="002D1B98"/>
    <w:rsid w:val="002D1DDA"/>
    <w:rsid w:val="002D2A38"/>
    <w:rsid w:val="002D333A"/>
    <w:rsid w:val="002D35BC"/>
    <w:rsid w:val="002D3D0F"/>
    <w:rsid w:val="002D3D62"/>
    <w:rsid w:val="002D4167"/>
    <w:rsid w:val="002D4409"/>
    <w:rsid w:val="002D635D"/>
    <w:rsid w:val="002D72FC"/>
    <w:rsid w:val="002E05C9"/>
    <w:rsid w:val="002E0CBA"/>
    <w:rsid w:val="002E0FB6"/>
    <w:rsid w:val="002E1155"/>
    <w:rsid w:val="002E1C0E"/>
    <w:rsid w:val="002E2EBE"/>
    <w:rsid w:val="002E312F"/>
    <w:rsid w:val="002E4A06"/>
    <w:rsid w:val="002E52E1"/>
    <w:rsid w:val="002E5B26"/>
    <w:rsid w:val="002E6321"/>
    <w:rsid w:val="002E6414"/>
    <w:rsid w:val="002E6790"/>
    <w:rsid w:val="002E6F32"/>
    <w:rsid w:val="002E7097"/>
    <w:rsid w:val="002E76A2"/>
    <w:rsid w:val="002F07D7"/>
    <w:rsid w:val="002F1E87"/>
    <w:rsid w:val="002F2531"/>
    <w:rsid w:val="002F2ED4"/>
    <w:rsid w:val="002F3082"/>
    <w:rsid w:val="002F35ED"/>
    <w:rsid w:val="002F3715"/>
    <w:rsid w:val="002F3D89"/>
    <w:rsid w:val="002F4E9B"/>
    <w:rsid w:val="002F58D5"/>
    <w:rsid w:val="002F5F2D"/>
    <w:rsid w:val="002F6788"/>
    <w:rsid w:val="002F715D"/>
    <w:rsid w:val="002F7CA3"/>
    <w:rsid w:val="00300439"/>
    <w:rsid w:val="00300909"/>
    <w:rsid w:val="003013D9"/>
    <w:rsid w:val="003022EB"/>
    <w:rsid w:val="003024D6"/>
    <w:rsid w:val="00302A2C"/>
    <w:rsid w:val="00304125"/>
    <w:rsid w:val="00305129"/>
    <w:rsid w:val="003066E3"/>
    <w:rsid w:val="00306744"/>
    <w:rsid w:val="00306D66"/>
    <w:rsid w:val="00306F77"/>
    <w:rsid w:val="0030729A"/>
    <w:rsid w:val="00307436"/>
    <w:rsid w:val="00307629"/>
    <w:rsid w:val="00310A35"/>
    <w:rsid w:val="003115E7"/>
    <w:rsid w:val="00311F3D"/>
    <w:rsid w:val="0031201A"/>
    <w:rsid w:val="00312398"/>
    <w:rsid w:val="00312552"/>
    <w:rsid w:val="00312B1C"/>
    <w:rsid w:val="00312F41"/>
    <w:rsid w:val="00313378"/>
    <w:rsid w:val="00314311"/>
    <w:rsid w:val="00314CB2"/>
    <w:rsid w:val="003154AF"/>
    <w:rsid w:val="0031552A"/>
    <w:rsid w:val="00315B86"/>
    <w:rsid w:val="003160B8"/>
    <w:rsid w:val="00316CF5"/>
    <w:rsid w:val="00316F63"/>
    <w:rsid w:val="003171DA"/>
    <w:rsid w:val="003175CD"/>
    <w:rsid w:val="00317773"/>
    <w:rsid w:val="0031799E"/>
    <w:rsid w:val="00320739"/>
    <w:rsid w:val="0032077E"/>
    <w:rsid w:val="00320907"/>
    <w:rsid w:val="00321380"/>
    <w:rsid w:val="0032159C"/>
    <w:rsid w:val="00321686"/>
    <w:rsid w:val="00322722"/>
    <w:rsid w:val="00322D00"/>
    <w:rsid w:val="003233D2"/>
    <w:rsid w:val="003248AD"/>
    <w:rsid w:val="00325333"/>
    <w:rsid w:val="0032555F"/>
    <w:rsid w:val="00326180"/>
    <w:rsid w:val="00326396"/>
    <w:rsid w:val="003263B2"/>
    <w:rsid w:val="0032663D"/>
    <w:rsid w:val="00326C1B"/>
    <w:rsid w:val="00326EAF"/>
    <w:rsid w:val="0032789A"/>
    <w:rsid w:val="00327EA5"/>
    <w:rsid w:val="003307D8"/>
    <w:rsid w:val="00331162"/>
    <w:rsid w:val="00331918"/>
    <w:rsid w:val="00331B59"/>
    <w:rsid w:val="00331F8E"/>
    <w:rsid w:val="003322D5"/>
    <w:rsid w:val="00332C64"/>
    <w:rsid w:val="003333FB"/>
    <w:rsid w:val="00334519"/>
    <w:rsid w:val="003349F9"/>
    <w:rsid w:val="00334BEA"/>
    <w:rsid w:val="003352F4"/>
    <w:rsid w:val="0033534A"/>
    <w:rsid w:val="00335E14"/>
    <w:rsid w:val="0033618D"/>
    <w:rsid w:val="00336DA7"/>
    <w:rsid w:val="00336E61"/>
    <w:rsid w:val="00340446"/>
    <w:rsid w:val="00340D23"/>
    <w:rsid w:val="0034114C"/>
    <w:rsid w:val="00341187"/>
    <w:rsid w:val="00341523"/>
    <w:rsid w:val="0034169C"/>
    <w:rsid w:val="00341C18"/>
    <w:rsid w:val="00341DA8"/>
    <w:rsid w:val="00342DB1"/>
    <w:rsid w:val="003434D8"/>
    <w:rsid w:val="00343A36"/>
    <w:rsid w:val="003440B5"/>
    <w:rsid w:val="003443A1"/>
    <w:rsid w:val="003443C3"/>
    <w:rsid w:val="003447CE"/>
    <w:rsid w:val="003447D2"/>
    <w:rsid w:val="00345F47"/>
    <w:rsid w:val="0034729C"/>
    <w:rsid w:val="00347514"/>
    <w:rsid w:val="00350891"/>
    <w:rsid w:val="00350FAA"/>
    <w:rsid w:val="0035118A"/>
    <w:rsid w:val="003511C4"/>
    <w:rsid w:val="00351C9B"/>
    <w:rsid w:val="00351D84"/>
    <w:rsid w:val="00352DC9"/>
    <w:rsid w:val="00352F4D"/>
    <w:rsid w:val="003532F9"/>
    <w:rsid w:val="00353840"/>
    <w:rsid w:val="003539E8"/>
    <w:rsid w:val="003540B4"/>
    <w:rsid w:val="003543A2"/>
    <w:rsid w:val="0035562C"/>
    <w:rsid w:val="00355EDB"/>
    <w:rsid w:val="00356907"/>
    <w:rsid w:val="00357269"/>
    <w:rsid w:val="003577C4"/>
    <w:rsid w:val="00357E19"/>
    <w:rsid w:val="00357E63"/>
    <w:rsid w:val="00360746"/>
    <w:rsid w:val="003636AA"/>
    <w:rsid w:val="003642AB"/>
    <w:rsid w:val="00364809"/>
    <w:rsid w:val="00364F98"/>
    <w:rsid w:val="00365454"/>
    <w:rsid w:val="00365A46"/>
    <w:rsid w:val="003677B5"/>
    <w:rsid w:val="00370C9E"/>
    <w:rsid w:val="00370CA2"/>
    <w:rsid w:val="00371B0D"/>
    <w:rsid w:val="00371FA2"/>
    <w:rsid w:val="0037228C"/>
    <w:rsid w:val="00372D84"/>
    <w:rsid w:val="00373A77"/>
    <w:rsid w:val="003747CE"/>
    <w:rsid w:val="0037523F"/>
    <w:rsid w:val="00375C6D"/>
    <w:rsid w:val="003760DF"/>
    <w:rsid w:val="0038021A"/>
    <w:rsid w:val="003809C5"/>
    <w:rsid w:val="00380AAF"/>
    <w:rsid w:val="00380E66"/>
    <w:rsid w:val="00380E86"/>
    <w:rsid w:val="00381493"/>
    <w:rsid w:val="003838A5"/>
    <w:rsid w:val="00384478"/>
    <w:rsid w:val="003847F2"/>
    <w:rsid w:val="00384CA5"/>
    <w:rsid w:val="00385636"/>
    <w:rsid w:val="00386ADE"/>
    <w:rsid w:val="00387987"/>
    <w:rsid w:val="00387F49"/>
    <w:rsid w:val="0039041F"/>
    <w:rsid w:val="003909D5"/>
    <w:rsid w:val="00390D69"/>
    <w:rsid w:val="00390D89"/>
    <w:rsid w:val="0039250C"/>
    <w:rsid w:val="00392AC5"/>
    <w:rsid w:val="00392E57"/>
    <w:rsid w:val="0039336F"/>
    <w:rsid w:val="003934D2"/>
    <w:rsid w:val="00393658"/>
    <w:rsid w:val="00393D5A"/>
    <w:rsid w:val="00394809"/>
    <w:rsid w:val="00395E4D"/>
    <w:rsid w:val="003963CF"/>
    <w:rsid w:val="003964DF"/>
    <w:rsid w:val="00396C49"/>
    <w:rsid w:val="00396F24"/>
    <w:rsid w:val="00397438"/>
    <w:rsid w:val="003975E2"/>
    <w:rsid w:val="00397668"/>
    <w:rsid w:val="00397F84"/>
    <w:rsid w:val="003A0727"/>
    <w:rsid w:val="003A1392"/>
    <w:rsid w:val="003A1501"/>
    <w:rsid w:val="003A1729"/>
    <w:rsid w:val="003A1BAA"/>
    <w:rsid w:val="003A1CA4"/>
    <w:rsid w:val="003A2D1A"/>
    <w:rsid w:val="003A304C"/>
    <w:rsid w:val="003A3ABA"/>
    <w:rsid w:val="003A3CFC"/>
    <w:rsid w:val="003A3D1B"/>
    <w:rsid w:val="003A4382"/>
    <w:rsid w:val="003A5682"/>
    <w:rsid w:val="003A5716"/>
    <w:rsid w:val="003A613A"/>
    <w:rsid w:val="003A6739"/>
    <w:rsid w:val="003A7C00"/>
    <w:rsid w:val="003B26E8"/>
    <w:rsid w:val="003B312E"/>
    <w:rsid w:val="003B3974"/>
    <w:rsid w:val="003B4C9B"/>
    <w:rsid w:val="003B509C"/>
    <w:rsid w:val="003B5342"/>
    <w:rsid w:val="003B574A"/>
    <w:rsid w:val="003B6B73"/>
    <w:rsid w:val="003B70E5"/>
    <w:rsid w:val="003B713F"/>
    <w:rsid w:val="003C0888"/>
    <w:rsid w:val="003C0A27"/>
    <w:rsid w:val="003C137C"/>
    <w:rsid w:val="003C2736"/>
    <w:rsid w:val="003C278A"/>
    <w:rsid w:val="003C297F"/>
    <w:rsid w:val="003C3B8F"/>
    <w:rsid w:val="003C3BA1"/>
    <w:rsid w:val="003C42EB"/>
    <w:rsid w:val="003C49A7"/>
    <w:rsid w:val="003C4F0B"/>
    <w:rsid w:val="003C52C5"/>
    <w:rsid w:val="003C797B"/>
    <w:rsid w:val="003D05BF"/>
    <w:rsid w:val="003D0795"/>
    <w:rsid w:val="003D0E3F"/>
    <w:rsid w:val="003D0EF6"/>
    <w:rsid w:val="003D11EE"/>
    <w:rsid w:val="003D21D8"/>
    <w:rsid w:val="003D28F7"/>
    <w:rsid w:val="003D2B85"/>
    <w:rsid w:val="003D2C8A"/>
    <w:rsid w:val="003D55AF"/>
    <w:rsid w:val="003D56C6"/>
    <w:rsid w:val="003D5765"/>
    <w:rsid w:val="003D6555"/>
    <w:rsid w:val="003D705B"/>
    <w:rsid w:val="003D70C6"/>
    <w:rsid w:val="003D7D71"/>
    <w:rsid w:val="003E183C"/>
    <w:rsid w:val="003E2405"/>
    <w:rsid w:val="003E30E2"/>
    <w:rsid w:val="003E3A13"/>
    <w:rsid w:val="003E3A63"/>
    <w:rsid w:val="003E4594"/>
    <w:rsid w:val="003E5E33"/>
    <w:rsid w:val="003E633F"/>
    <w:rsid w:val="003E7820"/>
    <w:rsid w:val="003E797A"/>
    <w:rsid w:val="003F126B"/>
    <w:rsid w:val="003F135C"/>
    <w:rsid w:val="003F1668"/>
    <w:rsid w:val="003F1A91"/>
    <w:rsid w:val="003F2137"/>
    <w:rsid w:val="003F230A"/>
    <w:rsid w:val="003F2FF1"/>
    <w:rsid w:val="003F31CB"/>
    <w:rsid w:val="003F49B3"/>
    <w:rsid w:val="003F4A13"/>
    <w:rsid w:val="003F629A"/>
    <w:rsid w:val="003F62CF"/>
    <w:rsid w:val="003F65D8"/>
    <w:rsid w:val="003F6A70"/>
    <w:rsid w:val="003F6CC8"/>
    <w:rsid w:val="003F7697"/>
    <w:rsid w:val="00400514"/>
    <w:rsid w:val="00401158"/>
    <w:rsid w:val="004012F7"/>
    <w:rsid w:val="00401B01"/>
    <w:rsid w:val="0040275A"/>
    <w:rsid w:val="0040492D"/>
    <w:rsid w:val="00404B0D"/>
    <w:rsid w:val="004063F4"/>
    <w:rsid w:val="0040667D"/>
    <w:rsid w:val="00406775"/>
    <w:rsid w:val="00406EE8"/>
    <w:rsid w:val="00407293"/>
    <w:rsid w:val="004073E8"/>
    <w:rsid w:val="00407731"/>
    <w:rsid w:val="00407B27"/>
    <w:rsid w:val="00407C64"/>
    <w:rsid w:val="00407E21"/>
    <w:rsid w:val="00410021"/>
    <w:rsid w:val="00410845"/>
    <w:rsid w:val="00410E24"/>
    <w:rsid w:val="00410E30"/>
    <w:rsid w:val="00411738"/>
    <w:rsid w:val="0041178B"/>
    <w:rsid w:val="00411A35"/>
    <w:rsid w:val="00412333"/>
    <w:rsid w:val="00412BB4"/>
    <w:rsid w:val="00413490"/>
    <w:rsid w:val="004156DC"/>
    <w:rsid w:val="00415978"/>
    <w:rsid w:val="00415FB3"/>
    <w:rsid w:val="00416367"/>
    <w:rsid w:val="004168CB"/>
    <w:rsid w:val="00416EBB"/>
    <w:rsid w:val="00417855"/>
    <w:rsid w:val="00420100"/>
    <w:rsid w:val="00420B9A"/>
    <w:rsid w:val="004213DA"/>
    <w:rsid w:val="00422DE7"/>
    <w:rsid w:val="00423329"/>
    <w:rsid w:val="00423500"/>
    <w:rsid w:val="00423754"/>
    <w:rsid w:val="00423F92"/>
    <w:rsid w:val="0042486F"/>
    <w:rsid w:val="00424BD8"/>
    <w:rsid w:val="00426B31"/>
    <w:rsid w:val="00427D37"/>
    <w:rsid w:val="00427FEA"/>
    <w:rsid w:val="00431540"/>
    <w:rsid w:val="00432ABB"/>
    <w:rsid w:val="0043332C"/>
    <w:rsid w:val="00433B9B"/>
    <w:rsid w:val="004350B3"/>
    <w:rsid w:val="004356EE"/>
    <w:rsid w:val="004360D8"/>
    <w:rsid w:val="004403DA"/>
    <w:rsid w:val="00440622"/>
    <w:rsid w:val="00441489"/>
    <w:rsid w:val="00442189"/>
    <w:rsid w:val="00442BA9"/>
    <w:rsid w:val="00443521"/>
    <w:rsid w:val="0044358E"/>
    <w:rsid w:val="00443E9E"/>
    <w:rsid w:val="004444CA"/>
    <w:rsid w:val="00444786"/>
    <w:rsid w:val="004447EF"/>
    <w:rsid w:val="00444811"/>
    <w:rsid w:val="00444C8F"/>
    <w:rsid w:val="00445033"/>
    <w:rsid w:val="0044553F"/>
    <w:rsid w:val="0044559E"/>
    <w:rsid w:val="00446067"/>
    <w:rsid w:val="00446680"/>
    <w:rsid w:val="00446D62"/>
    <w:rsid w:val="0044706E"/>
    <w:rsid w:val="00447390"/>
    <w:rsid w:val="00447E6A"/>
    <w:rsid w:val="00447E9B"/>
    <w:rsid w:val="00450E0F"/>
    <w:rsid w:val="00451A56"/>
    <w:rsid w:val="00451DC4"/>
    <w:rsid w:val="00452993"/>
    <w:rsid w:val="004529CD"/>
    <w:rsid w:val="00454492"/>
    <w:rsid w:val="0045451D"/>
    <w:rsid w:val="00454EE0"/>
    <w:rsid w:val="004567D0"/>
    <w:rsid w:val="00457072"/>
    <w:rsid w:val="0045713A"/>
    <w:rsid w:val="00457507"/>
    <w:rsid w:val="00457BAF"/>
    <w:rsid w:val="00461286"/>
    <w:rsid w:val="004613FE"/>
    <w:rsid w:val="00461642"/>
    <w:rsid w:val="00461696"/>
    <w:rsid w:val="00461C33"/>
    <w:rsid w:val="004621AA"/>
    <w:rsid w:val="00462A80"/>
    <w:rsid w:val="00462E9E"/>
    <w:rsid w:val="00463143"/>
    <w:rsid w:val="0046345E"/>
    <w:rsid w:val="004634AB"/>
    <w:rsid w:val="00463544"/>
    <w:rsid w:val="00463B7C"/>
    <w:rsid w:val="00464AD9"/>
    <w:rsid w:val="004657FE"/>
    <w:rsid w:val="00466452"/>
    <w:rsid w:val="0047020D"/>
    <w:rsid w:val="00470C1C"/>
    <w:rsid w:val="00470CAC"/>
    <w:rsid w:val="004717CE"/>
    <w:rsid w:val="00471946"/>
    <w:rsid w:val="00471A21"/>
    <w:rsid w:val="00471AEE"/>
    <w:rsid w:val="00471C0A"/>
    <w:rsid w:val="00471CC9"/>
    <w:rsid w:val="00472000"/>
    <w:rsid w:val="004726FD"/>
    <w:rsid w:val="00472A6F"/>
    <w:rsid w:val="004730F3"/>
    <w:rsid w:val="004735EE"/>
    <w:rsid w:val="00473945"/>
    <w:rsid w:val="00473E1E"/>
    <w:rsid w:val="0047420B"/>
    <w:rsid w:val="00474F42"/>
    <w:rsid w:val="00474F57"/>
    <w:rsid w:val="0047604F"/>
    <w:rsid w:val="004761A5"/>
    <w:rsid w:val="004761CC"/>
    <w:rsid w:val="00476EE5"/>
    <w:rsid w:val="004770BD"/>
    <w:rsid w:val="00477282"/>
    <w:rsid w:val="00477461"/>
    <w:rsid w:val="004774E1"/>
    <w:rsid w:val="00477FA2"/>
    <w:rsid w:val="004803A5"/>
    <w:rsid w:val="004807A2"/>
    <w:rsid w:val="00481778"/>
    <w:rsid w:val="00481897"/>
    <w:rsid w:val="0048226D"/>
    <w:rsid w:val="00482D81"/>
    <w:rsid w:val="00482E1D"/>
    <w:rsid w:val="004842D6"/>
    <w:rsid w:val="00484499"/>
    <w:rsid w:val="00484D0A"/>
    <w:rsid w:val="004852C6"/>
    <w:rsid w:val="0048554F"/>
    <w:rsid w:val="00487511"/>
    <w:rsid w:val="00487E49"/>
    <w:rsid w:val="00490A2D"/>
    <w:rsid w:val="00492371"/>
    <w:rsid w:val="00492DD6"/>
    <w:rsid w:val="00492EFF"/>
    <w:rsid w:val="004934C1"/>
    <w:rsid w:val="004938EA"/>
    <w:rsid w:val="00493D52"/>
    <w:rsid w:val="00493F42"/>
    <w:rsid w:val="004940A3"/>
    <w:rsid w:val="00494CD1"/>
    <w:rsid w:val="00494D83"/>
    <w:rsid w:val="004956C6"/>
    <w:rsid w:val="0049580E"/>
    <w:rsid w:val="00495850"/>
    <w:rsid w:val="00495A20"/>
    <w:rsid w:val="00496BA0"/>
    <w:rsid w:val="004971E8"/>
    <w:rsid w:val="004973FE"/>
    <w:rsid w:val="004A0233"/>
    <w:rsid w:val="004A024E"/>
    <w:rsid w:val="004A0A62"/>
    <w:rsid w:val="004A0AC5"/>
    <w:rsid w:val="004A1012"/>
    <w:rsid w:val="004A13C7"/>
    <w:rsid w:val="004A1848"/>
    <w:rsid w:val="004A1F8F"/>
    <w:rsid w:val="004A2341"/>
    <w:rsid w:val="004A23AD"/>
    <w:rsid w:val="004A2CE1"/>
    <w:rsid w:val="004A2D21"/>
    <w:rsid w:val="004A3A8C"/>
    <w:rsid w:val="004A469B"/>
    <w:rsid w:val="004A50F6"/>
    <w:rsid w:val="004A5A57"/>
    <w:rsid w:val="004A6160"/>
    <w:rsid w:val="004A6260"/>
    <w:rsid w:val="004A62E2"/>
    <w:rsid w:val="004A755C"/>
    <w:rsid w:val="004B02BB"/>
    <w:rsid w:val="004B130D"/>
    <w:rsid w:val="004B1643"/>
    <w:rsid w:val="004B251C"/>
    <w:rsid w:val="004B2BA1"/>
    <w:rsid w:val="004B2E95"/>
    <w:rsid w:val="004B3D89"/>
    <w:rsid w:val="004B4373"/>
    <w:rsid w:val="004B4E28"/>
    <w:rsid w:val="004B54C3"/>
    <w:rsid w:val="004B742D"/>
    <w:rsid w:val="004B789B"/>
    <w:rsid w:val="004C00AB"/>
    <w:rsid w:val="004C03FB"/>
    <w:rsid w:val="004C285D"/>
    <w:rsid w:val="004C3C22"/>
    <w:rsid w:val="004C5163"/>
    <w:rsid w:val="004C550E"/>
    <w:rsid w:val="004C599E"/>
    <w:rsid w:val="004C59F0"/>
    <w:rsid w:val="004C70AC"/>
    <w:rsid w:val="004C71BE"/>
    <w:rsid w:val="004C7E58"/>
    <w:rsid w:val="004D115B"/>
    <w:rsid w:val="004D1619"/>
    <w:rsid w:val="004D18C2"/>
    <w:rsid w:val="004D1C58"/>
    <w:rsid w:val="004D1E41"/>
    <w:rsid w:val="004D229F"/>
    <w:rsid w:val="004D241B"/>
    <w:rsid w:val="004D2B10"/>
    <w:rsid w:val="004D2D9B"/>
    <w:rsid w:val="004D3921"/>
    <w:rsid w:val="004D4A2C"/>
    <w:rsid w:val="004D53BA"/>
    <w:rsid w:val="004D62F6"/>
    <w:rsid w:val="004D67B1"/>
    <w:rsid w:val="004D6A08"/>
    <w:rsid w:val="004D6CE8"/>
    <w:rsid w:val="004D6D53"/>
    <w:rsid w:val="004D781B"/>
    <w:rsid w:val="004D7F71"/>
    <w:rsid w:val="004E100C"/>
    <w:rsid w:val="004E1A59"/>
    <w:rsid w:val="004E1F0A"/>
    <w:rsid w:val="004E21BB"/>
    <w:rsid w:val="004E26CF"/>
    <w:rsid w:val="004E29DF"/>
    <w:rsid w:val="004E4430"/>
    <w:rsid w:val="004E4D97"/>
    <w:rsid w:val="004E4F02"/>
    <w:rsid w:val="004E5538"/>
    <w:rsid w:val="004E5A87"/>
    <w:rsid w:val="004E60F7"/>
    <w:rsid w:val="004E624F"/>
    <w:rsid w:val="004E63EA"/>
    <w:rsid w:val="004E6B46"/>
    <w:rsid w:val="004E6C47"/>
    <w:rsid w:val="004E6D9F"/>
    <w:rsid w:val="004F0003"/>
    <w:rsid w:val="004F0B40"/>
    <w:rsid w:val="004F0DAA"/>
    <w:rsid w:val="004F100F"/>
    <w:rsid w:val="004F160B"/>
    <w:rsid w:val="004F20DB"/>
    <w:rsid w:val="004F2849"/>
    <w:rsid w:val="004F2E7F"/>
    <w:rsid w:val="004F385C"/>
    <w:rsid w:val="004F3AEC"/>
    <w:rsid w:val="004F3C7F"/>
    <w:rsid w:val="004F3F8C"/>
    <w:rsid w:val="004F45AC"/>
    <w:rsid w:val="004F4A63"/>
    <w:rsid w:val="004F4DC9"/>
    <w:rsid w:val="004F4DCE"/>
    <w:rsid w:val="004F5493"/>
    <w:rsid w:val="004F57D5"/>
    <w:rsid w:val="004F62F0"/>
    <w:rsid w:val="004F7F25"/>
    <w:rsid w:val="00500176"/>
    <w:rsid w:val="005028B1"/>
    <w:rsid w:val="00502B01"/>
    <w:rsid w:val="00503833"/>
    <w:rsid w:val="0050652D"/>
    <w:rsid w:val="00506562"/>
    <w:rsid w:val="005066E4"/>
    <w:rsid w:val="00506FC1"/>
    <w:rsid w:val="00506FC8"/>
    <w:rsid w:val="005072DD"/>
    <w:rsid w:val="00507683"/>
    <w:rsid w:val="005101E2"/>
    <w:rsid w:val="0051057B"/>
    <w:rsid w:val="00511628"/>
    <w:rsid w:val="005123B3"/>
    <w:rsid w:val="0051265A"/>
    <w:rsid w:val="00512666"/>
    <w:rsid w:val="0051281F"/>
    <w:rsid w:val="005128ED"/>
    <w:rsid w:val="00512DCE"/>
    <w:rsid w:val="005132A4"/>
    <w:rsid w:val="00513474"/>
    <w:rsid w:val="005137C3"/>
    <w:rsid w:val="00513990"/>
    <w:rsid w:val="005153D3"/>
    <w:rsid w:val="00515419"/>
    <w:rsid w:val="005157BD"/>
    <w:rsid w:val="00515D10"/>
    <w:rsid w:val="00515D31"/>
    <w:rsid w:val="00517671"/>
    <w:rsid w:val="00517B21"/>
    <w:rsid w:val="00517B44"/>
    <w:rsid w:val="005211AE"/>
    <w:rsid w:val="0052148F"/>
    <w:rsid w:val="00523D26"/>
    <w:rsid w:val="005241E0"/>
    <w:rsid w:val="005241FA"/>
    <w:rsid w:val="005247AD"/>
    <w:rsid w:val="00524827"/>
    <w:rsid w:val="00524FD0"/>
    <w:rsid w:val="005250F2"/>
    <w:rsid w:val="005251E7"/>
    <w:rsid w:val="00526E17"/>
    <w:rsid w:val="005274F6"/>
    <w:rsid w:val="00530183"/>
    <w:rsid w:val="0053053C"/>
    <w:rsid w:val="00530C46"/>
    <w:rsid w:val="00531204"/>
    <w:rsid w:val="0053240A"/>
    <w:rsid w:val="0053291F"/>
    <w:rsid w:val="005330A4"/>
    <w:rsid w:val="00533664"/>
    <w:rsid w:val="005340FB"/>
    <w:rsid w:val="00534264"/>
    <w:rsid w:val="00534AC9"/>
    <w:rsid w:val="00534BEC"/>
    <w:rsid w:val="00534C9A"/>
    <w:rsid w:val="0053702F"/>
    <w:rsid w:val="00537059"/>
    <w:rsid w:val="00537C8D"/>
    <w:rsid w:val="00540244"/>
    <w:rsid w:val="0054030D"/>
    <w:rsid w:val="005411A4"/>
    <w:rsid w:val="005418DC"/>
    <w:rsid w:val="00541F18"/>
    <w:rsid w:val="0054347E"/>
    <w:rsid w:val="00543597"/>
    <w:rsid w:val="00544EBA"/>
    <w:rsid w:val="00545586"/>
    <w:rsid w:val="005470F2"/>
    <w:rsid w:val="00547336"/>
    <w:rsid w:val="00547486"/>
    <w:rsid w:val="00547FBC"/>
    <w:rsid w:val="005508C6"/>
    <w:rsid w:val="00550DEF"/>
    <w:rsid w:val="00550EC9"/>
    <w:rsid w:val="005515B4"/>
    <w:rsid w:val="005528FE"/>
    <w:rsid w:val="00553D97"/>
    <w:rsid w:val="005547BC"/>
    <w:rsid w:val="00555496"/>
    <w:rsid w:val="00555BB4"/>
    <w:rsid w:val="0055639A"/>
    <w:rsid w:val="00557C18"/>
    <w:rsid w:val="005602FA"/>
    <w:rsid w:val="00560F32"/>
    <w:rsid w:val="0056146D"/>
    <w:rsid w:val="00561F6A"/>
    <w:rsid w:val="00562DFB"/>
    <w:rsid w:val="0056305F"/>
    <w:rsid w:val="00563C0C"/>
    <w:rsid w:val="00565BFB"/>
    <w:rsid w:val="0056640C"/>
    <w:rsid w:val="00566AB0"/>
    <w:rsid w:val="005677EC"/>
    <w:rsid w:val="00570643"/>
    <w:rsid w:val="00571869"/>
    <w:rsid w:val="005727E6"/>
    <w:rsid w:val="00573035"/>
    <w:rsid w:val="00573AF0"/>
    <w:rsid w:val="00574041"/>
    <w:rsid w:val="005743AE"/>
    <w:rsid w:val="005749B5"/>
    <w:rsid w:val="00574FC9"/>
    <w:rsid w:val="0057500F"/>
    <w:rsid w:val="00575456"/>
    <w:rsid w:val="00576B71"/>
    <w:rsid w:val="00576B9A"/>
    <w:rsid w:val="00577082"/>
    <w:rsid w:val="0057758E"/>
    <w:rsid w:val="00577D6B"/>
    <w:rsid w:val="005800C9"/>
    <w:rsid w:val="005804CF"/>
    <w:rsid w:val="00580EEB"/>
    <w:rsid w:val="00580F98"/>
    <w:rsid w:val="0058154A"/>
    <w:rsid w:val="005818BA"/>
    <w:rsid w:val="005819F2"/>
    <w:rsid w:val="00583E19"/>
    <w:rsid w:val="005847E6"/>
    <w:rsid w:val="00585DAE"/>
    <w:rsid w:val="00586080"/>
    <w:rsid w:val="0058650D"/>
    <w:rsid w:val="00586943"/>
    <w:rsid w:val="005870B9"/>
    <w:rsid w:val="00587348"/>
    <w:rsid w:val="005878A8"/>
    <w:rsid w:val="00590C9C"/>
    <w:rsid w:val="0059172D"/>
    <w:rsid w:val="005925F4"/>
    <w:rsid w:val="00593199"/>
    <w:rsid w:val="00594C5A"/>
    <w:rsid w:val="00594D65"/>
    <w:rsid w:val="00595397"/>
    <w:rsid w:val="00595848"/>
    <w:rsid w:val="00596129"/>
    <w:rsid w:val="00596459"/>
    <w:rsid w:val="00596680"/>
    <w:rsid w:val="00596E95"/>
    <w:rsid w:val="005977D7"/>
    <w:rsid w:val="00597931"/>
    <w:rsid w:val="00597F1B"/>
    <w:rsid w:val="005A0607"/>
    <w:rsid w:val="005A0C8D"/>
    <w:rsid w:val="005A11ED"/>
    <w:rsid w:val="005A28A0"/>
    <w:rsid w:val="005A3006"/>
    <w:rsid w:val="005A3374"/>
    <w:rsid w:val="005A387F"/>
    <w:rsid w:val="005A3CDF"/>
    <w:rsid w:val="005A4002"/>
    <w:rsid w:val="005A4BCA"/>
    <w:rsid w:val="005A512C"/>
    <w:rsid w:val="005A65A8"/>
    <w:rsid w:val="005A6EF0"/>
    <w:rsid w:val="005A77E7"/>
    <w:rsid w:val="005A7ABD"/>
    <w:rsid w:val="005A7F31"/>
    <w:rsid w:val="005B0950"/>
    <w:rsid w:val="005B246E"/>
    <w:rsid w:val="005B2A86"/>
    <w:rsid w:val="005B31F9"/>
    <w:rsid w:val="005B3680"/>
    <w:rsid w:val="005B375D"/>
    <w:rsid w:val="005B381C"/>
    <w:rsid w:val="005B4070"/>
    <w:rsid w:val="005B47FF"/>
    <w:rsid w:val="005B4889"/>
    <w:rsid w:val="005B4CBE"/>
    <w:rsid w:val="005B5079"/>
    <w:rsid w:val="005B592C"/>
    <w:rsid w:val="005B6298"/>
    <w:rsid w:val="005B78A2"/>
    <w:rsid w:val="005C0650"/>
    <w:rsid w:val="005C06EA"/>
    <w:rsid w:val="005C0BB4"/>
    <w:rsid w:val="005C0C3A"/>
    <w:rsid w:val="005C1C48"/>
    <w:rsid w:val="005C2AB4"/>
    <w:rsid w:val="005C2D01"/>
    <w:rsid w:val="005C31DA"/>
    <w:rsid w:val="005C402E"/>
    <w:rsid w:val="005C4EC5"/>
    <w:rsid w:val="005C5D1E"/>
    <w:rsid w:val="005C62C2"/>
    <w:rsid w:val="005C6EE6"/>
    <w:rsid w:val="005C7517"/>
    <w:rsid w:val="005C75D8"/>
    <w:rsid w:val="005C7700"/>
    <w:rsid w:val="005C7B8B"/>
    <w:rsid w:val="005C7C74"/>
    <w:rsid w:val="005D12B7"/>
    <w:rsid w:val="005D1E6B"/>
    <w:rsid w:val="005D200E"/>
    <w:rsid w:val="005D2493"/>
    <w:rsid w:val="005D2651"/>
    <w:rsid w:val="005D2748"/>
    <w:rsid w:val="005D29E9"/>
    <w:rsid w:val="005D2FF8"/>
    <w:rsid w:val="005D3272"/>
    <w:rsid w:val="005D3E6B"/>
    <w:rsid w:val="005D44F3"/>
    <w:rsid w:val="005D493A"/>
    <w:rsid w:val="005D4A02"/>
    <w:rsid w:val="005D4B1C"/>
    <w:rsid w:val="005D5677"/>
    <w:rsid w:val="005D5C24"/>
    <w:rsid w:val="005D6021"/>
    <w:rsid w:val="005D7D15"/>
    <w:rsid w:val="005E039A"/>
    <w:rsid w:val="005E0ADF"/>
    <w:rsid w:val="005E0F5A"/>
    <w:rsid w:val="005E1024"/>
    <w:rsid w:val="005E11C1"/>
    <w:rsid w:val="005E37F6"/>
    <w:rsid w:val="005E3F80"/>
    <w:rsid w:val="005E3FAC"/>
    <w:rsid w:val="005E657A"/>
    <w:rsid w:val="005E706B"/>
    <w:rsid w:val="005E7CBE"/>
    <w:rsid w:val="005E7D91"/>
    <w:rsid w:val="005F0A0C"/>
    <w:rsid w:val="005F1DC0"/>
    <w:rsid w:val="005F2449"/>
    <w:rsid w:val="005F2547"/>
    <w:rsid w:val="005F271D"/>
    <w:rsid w:val="005F277C"/>
    <w:rsid w:val="005F2E61"/>
    <w:rsid w:val="005F3394"/>
    <w:rsid w:val="005F4AED"/>
    <w:rsid w:val="005F4BAC"/>
    <w:rsid w:val="005F4EF8"/>
    <w:rsid w:val="005F5117"/>
    <w:rsid w:val="005F68E7"/>
    <w:rsid w:val="005F7704"/>
    <w:rsid w:val="005F7B61"/>
    <w:rsid w:val="0060022F"/>
    <w:rsid w:val="00600270"/>
    <w:rsid w:val="006008E2"/>
    <w:rsid w:val="00600EB5"/>
    <w:rsid w:val="00601C2E"/>
    <w:rsid w:val="00601F8C"/>
    <w:rsid w:val="006022E1"/>
    <w:rsid w:val="0060293F"/>
    <w:rsid w:val="00602FDD"/>
    <w:rsid w:val="00604475"/>
    <w:rsid w:val="00604A63"/>
    <w:rsid w:val="00604DEF"/>
    <w:rsid w:val="00605048"/>
    <w:rsid w:val="0060549F"/>
    <w:rsid w:val="006064CC"/>
    <w:rsid w:val="0060651D"/>
    <w:rsid w:val="00610026"/>
    <w:rsid w:val="006101E6"/>
    <w:rsid w:val="00610502"/>
    <w:rsid w:val="00610F12"/>
    <w:rsid w:val="0061382B"/>
    <w:rsid w:val="00613D57"/>
    <w:rsid w:val="006152A8"/>
    <w:rsid w:val="00616502"/>
    <w:rsid w:val="00617062"/>
    <w:rsid w:val="00617C00"/>
    <w:rsid w:val="00620122"/>
    <w:rsid w:val="00620C24"/>
    <w:rsid w:val="00620D97"/>
    <w:rsid w:val="00621058"/>
    <w:rsid w:val="0062164E"/>
    <w:rsid w:val="006221E2"/>
    <w:rsid w:val="00622B9E"/>
    <w:rsid w:val="00622BAC"/>
    <w:rsid w:val="0062389D"/>
    <w:rsid w:val="00624C26"/>
    <w:rsid w:val="00624EEB"/>
    <w:rsid w:val="006257D9"/>
    <w:rsid w:val="006260BE"/>
    <w:rsid w:val="00627032"/>
    <w:rsid w:val="00627512"/>
    <w:rsid w:val="00627D6D"/>
    <w:rsid w:val="00630A57"/>
    <w:rsid w:val="00631510"/>
    <w:rsid w:val="006319AC"/>
    <w:rsid w:val="006319EB"/>
    <w:rsid w:val="00632214"/>
    <w:rsid w:val="0063233B"/>
    <w:rsid w:val="00632CAD"/>
    <w:rsid w:val="00632CCD"/>
    <w:rsid w:val="00633318"/>
    <w:rsid w:val="00633360"/>
    <w:rsid w:val="00634E48"/>
    <w:rsid w:val="00634EA9"/>
    <w:rsid w:val="00635752"/>
    <w:rsid w:val="006359AF"/>
    <w:rsid w:val="00636023"/>
    <w:rsid w:val="00636E77"/>
    <w:rsid w:val="00636EBF"/>
    <w:rsid w:val="0064010B"/>
    <w:rsid w:val="00640673"/>
    <w:rsid w:val="0064103D"/>
    <w:rsid w:val="006417BC"/>
    <w:rsid w:val="00641A98"/>
    <w:rsid w:val="00641EE7"/>
    <w:rsid w:val="00642703"/>
    <w:rsid w:val="0064288A"/>
    <w:rsid w:val="0064292B"/>
    <w:rsid w:val="00643076"/>
    <w:rsid w:val="00643212"/>
    <w:rsid w:val="0064444D"/>
    <w:rsid w:val="00644B99"/>
    <w:rsid w:val="006450C2"/>
    <w:rsid w:val="006452C8"/>
    <w:rsid w:val="00645C67"/>
    <w:rsid w:val="00646863"/>
    <w:rsid w:val="0064732C"/>
    <w:rsid w:val="0065001C"/>
    <w:rsid w:val="00650642"/>
    <w:rsid w:val="00650F13"/>
    <w:rsid w:val="00650F1E"/>
    <w:rsid w:val="006518AE"/>
    <w:rsid w:val="00651B3C"/>
    <w:rsid w:val="0065221A"/>
    <w:rsid w:val="00653998"/>
    <w:rsid w:val="00654634"/>
    <w:rsid w:val="0065547F"/>
    <w:rsid w:val="00655594"/>
    <w:rsid w:val="00656795"/>
    <w:rsid w:val="00657FCA"/>
    <w:rsid w:val="00660291"/>
    <w:rsid w:val="0066055F"/>
    <w:rsid w:val="00660D4D"/>
    <w:rsid w:val="00661284"/>
    <w:rsid w:val="00661503"/>
    <w:rsid w:val="0066159A"/>
    <w:rsid w:val="00661DEB"/>
    <w:rsid w:val="00663441"/>
    <w:rsid w:val="0066363A"/>
    <w:rsid w:val="00664007"/>
    <w:rsid w:val="00664A33"/>
    <w:rsid w:val="00664E80"/>
    <w:rsid w:val="006654FF"/>
    <w:rsid w:val="0066614D"/>
    <w:rsid w:val="006665F8"/>
    <w:rsid w:val="006668B9"/>
    <w:rsid w:val="00666C88"/>
    <w:rsid w:val="006674CB"/>
    <w:rsid w:val="00670193"/>
    <w:rsid w:val="0067045B"/>
    <w:rsid w:val="00670AA0"/>
    <w:rsid w:val="00671743"/>
    <w:rsid w:val="0067181E"/>
    <w:rsid w:val="00672313"/>
    <w:rsid w:val="0067265E"/>
    <w:rsid w:val="00672F2D"/>
    <w:rsid w:val="00672F5B"/>
    <w:rsid w:val="00673C74"/>
    <w:rsid w:val="00673DC8"/>
    <w:rsid w:val="006748AD"/>
    <w:rsid w:val="00675944"/>
    <w:rsid w:val="00675E8D"/>
    <w:rsid w:val="00676595"/>
    <w:rsid w:val="006765FD"/>
    <w:rsid w:val="00676EB2"/>
    <w:rsid w:val="006779A6"/>
    <w:rsid w:val="00680E4F"/>
    <w:rsid w:val="00680FC7"/>
    <w:rsid w:val="00681355"/>
    <w:rsid w:val="006813BF"/>
    <w:rsid w:val="006819C5"/>
    <w:rsid w:val="00682996"/>
    <w:rsid w:val="00682FB6"/>
    <w:rsid w:val="00684639"/>
    <w:rsid w:val="00684EC0"/>
    <w:rsid w:val="00685002"/>
    <w:rsid w:val="00685CE1"/>
    <w:rsid w:val="006863AD"/>
    <w:rsid w:val="00686D89"/>
    <w:rsid w:val="00686FFD"/>
    <w:rsid w:val="00687F60"/>
    <w:rsid w:val="006900C7"/>
    <w:rsid w:val="00690FA7"/>
    <w:rsid w:val="0069190F"/>
    <w:rsid w:val="00691FD9"/>
    <w:rsid w:val="0069236B"/>
    <w:rsid w:val="0069287D"/>
    <w:rsid w:val="006928EA"/>
    <w:rsid w:val="0069298C"/>
    <w:rsid w:val="006929E9"/>
    <w:rsid w:val="00692A2B"/>
    <w:rsid w:val="00693B4B"/>
    <w:rsid w:val="00693F90"/>
    <w:rsid w:val="00694329"/>
    <w:rsid w:val="00694436"/>
    <w:rsid w:val="00694497"/>
    <w:rsid w:val="00697268"/>
    <w:rsid w:val="006A0C8E"/>
    <w:rsid w:val="006A1430"/>
    <w:rsid w:val="006A2D7B"/>
    <w:rsid w:val="006A3336"/>
    <w:rsid w:val="006A47C4"/>
    <w:rsid w:val="006A53CD"/>
    <w:rsid w:val="006A6FBF"/>
    <w:rsid w:val="006A71BC"/>
    <w:rsid w:val="006A761D"/>
    <w:rsid w:val="006A79B0"/>
    <w:rsid w:val="006A79D0"/>
    <w:rsid w:val="006A79D9"/>
    <w:rsid w:val="006A7FA5"/>
    <w:rsid w:val="006B0875"/>
    <w:rsid w:val="006B117A"/>
    <w:rsid w:val="006B1491"/>
    <w:rsid w:val="006B2397"/>
    <w:rsid w:val="006B2650"/>
    <w:rsid w:val="006B2971"/>
    <w:rsid w:val="006B2DF4"/>
    <w:rsid w:val="006B4D9C"/>
    <w:rsid w:val="006B63F0"/>
    <w:rsid w:val="006B6909"/>
    <w:rsid w:val="006B76BD"/>
    <w:rsid w:val="006B7867"/>
    <w:rsid w:val="006B7E97"/>
    <w:rsid w:val="006C01ED"/>
    <w:rsid w:val="006C0344"/>
    <w:rsid w:val="006C06DC"/>
    <w:rsid w:val="006C07C6"/>
    <w:rsid w:val="006C0823"/>
    <w:rsid w:val="006C0A9D"/>
    <w:rsid w:val="006C1123"/>
    <w:rsid w:val="006C2E3F"/>
    <w:rsid w:val="006C3389"/>
    <w:rsid w:val="006C33F8"/>
    <w:rsid w:val="006C38B5"/>
    <w:rsid w:val="006C3D80"/>
    <w:rsid w:val="006C4449"/>
    <w:rsid w:val="006C44BD"/>
    <w:rsid w:val="006C54CC"/>
    <w:rsid w:val="006C591D"/>
    <w:rsid w:val="006C5C90"/>
    <w:rsid w:val="006C61A9"/>
    <w:rsid w:val="006C6C47"/>
    <w:rsid w:val="006C7213"/>
    <w:rsid w:val="006C7391"/>
    <w:rsid w:val="006C7489"/>
    <w:rsid w:val="006C768A"/>
    <w:rsid w:val="006C7B81"/>
    <w:rsid w:val="006C7C00"/>
    <w:rsid w:val="006C7CE1"/>
    <w:rsid w:val="006C7FB5"/>
    <w:rsid w:val="006D0273"/>
    <w:rsid w:val="006D0B20"/>
    <w:rsid w:val="006D0BF3"/>
    <w:rsid w:val="006D0EF5"/>
    <w:rsid w:val="006D158B"/>
    <w:rsid w:val="006D1667"/>
    <w:rsid w:val="006D2194"/>
    <w:rsid w:val="006D2A9B"/>
    <w:rsid w:val="006D2B0A"/>
    <w:rsid w:val="006D2BB9"/>
    <w:rsid w:val="006D2C56"/>
    <w:rsid w:val="006D4852"/>
    <w:rsid w:val="006D56B4"/>
    <w:rsid w:val="006D5709"/>
    <w:rsid w:val="006D5C9C"/>
    <w:rsid w:val="006D5F58"/>
    <w:rsid w:val="006D6A61"/>
    <w:rsid w:val="006D6FC7"/>
    <w:rsid w:val="006D7002"/>
    <w:rsid w:val="006D700F"/>
    <w:rsid w:val="006D7ED1"/>
    <w:rsid w:val="006E0303"/>
    <w:rsid w:val="006E04D8"/>
    <w:rsid w:val="006E0931"/>
    <w:rsid w:val="006E2DA2"/>
    <w:rsid w:val="006E31DD"/>
    <w:rsid w:val="006E35CE"/>
    <w:rsid w:val="006E39FB"/>
    <w:rsid w:val="006E3A05"/>
    <w:rsid w:val="006E466B"/>
    <w:rsid w:val="006E4E7D"/>
    <w:rsid w:val="006E55F5"/>
    <w:rsid w:val="006E6862"/>
    <w:rsid w:val="006E6B98"/>
    <w:rsid w:val="006F0D53"/>
    <w:rsid w:val="006F1DAC"/>
    <w:rsid w:val="006F2415"/>
    <w:rsid w:val="006F297A"/>
    <w:rsid w:val="006F2D4F"/>
    <w:rsid w:val="006F2EEF"/>
    <w:rsid w:val="006F3A10"/>
    <w:rsid w:val="006F3F0F"/>
    <w:rsid w:val="006F4550"/>
    <w:rsid w:val="006F4ACD"/>
    <w:rsid w:val="006F503F"/>
    <w:rsid w:val="006F56E4"/>
    <w:rsid w:val="006F5FD7"/>
    <w:rsid w:val="006F6B91"/>
    <w:rsid w:val="006F6CEA"/>
    <w:rsid w:val="006F6DF8"/>
    <w:rsid w:val="006F70FF"/>
    <w:rsid w:val="006F76B2"/>
    <w:rsid w:val="0070095D"/>
    <w:rsid w:val="00700C69"/>
    <w:rsid w:val="0070109C"/>
    <w:rsid w:val="007031E7"/>
    <w:rsid w:val="00703AE9"/>
    <w:rsid w:val="007043F4"/>
    <w:rsid w:val="00704982"/>
    <w:rsid w:val="00704C3B"/>
    <w:rsid w:val="007055B6"/>
    <w:rsid w:val="00705702"/>
    <w:rsid w:val="00706051"/>
    <w:rsid w:val="007060BC"/>
    <w:rsid w:val="0070671B"/>
    <w:rsid w:val="00707299"/>
    <w:rsid w:val="007073B4"/>
    <w:rsid w:val="0070779E"/>
    <w:rsid w:val="00710019"/>
    <w:rsid w:val="00710225"/>
    <w:rsid w:val="00710F80"/>
    <w:rsid w:val="007113C9"/>
    <w:rsid w:val="00711703"/>
    <w:rsid w:val="007118FE"/>
    <w:rsid w:val="007120E5"/>
    <w:rsid w:val="007129A5"/>
    <w:rsid w:val="0071309A"/>
    <w:rsid w:val="007141D6"/>
    <w:rsid w:val="007148E3"/>
    <w:rsid w:val="00714C0D"/>
    <w:rsid w:val="0071572C"/>
    <w:rsid w:val="00715B73"/>
    <w:rsid w:val="0071654C"/>
    <w:rsid w:val="0071687A"/>
    <w:rsid w:val="007168AE"/>
    <w:rsid w:val="00716DF7"/>
    <w:rsid w:val="007170EE"/>
    <w:rsid w:val="007172A6"/>
    <w:rsid w:val="00717B56"/>
    <w:rsid w:val="00717E74"/>
    <w:rsid w:val="00720000"/>
    <w:rsid w:val="0072021F"/>
    <w:rsid w:val="007206FF"/>
    <w:rsid w:val="00722185"/>
    <w:rsid w:val="007223A4"/>
    <w:rsid w:val="00723909"/>
    <w:rsid w:val="007239DA"/>
    <w:rsid w:val="007243DC"/>
    <w:rsid w:val="00724BA5"/>
    <w:rsid w:val="00724DBC"/>
    <w:rsid w:val="00724EA0"/>
    <w:rsid w:val="00725634"/>
    <w:rsid w:val="007264B6"/>
    <w:rsid w:val="00726576"/>
    <w:rsid w:val="00726605"/>
    <w:rsid w:val="007272E6"/>
    <w:rsid w:val="00727D7B"/>
    <w:rsid w:val="0073054C"/>
    <w:rsid w:val="00730FAF"/>
    <w:rsid w:val="0073130C"/>
    <w:rsid w:val="00731698"/>
    <w:rsid w:val="00731998"/>
    <w:rsid w:val="00731CA6"/>
    <w:rsid w:val="00731EB3"/>
    <w:rsid w:val="00732875"/>
    <w:rsid w:val="0073323D"/>
    <w:rsid w:val="00733B67"/>
    <w:rsid w:val="00734788"/>
    <w:rsid w:val="00734A35"/>
    <w:rsid w:val="00735D22"/>
    <w:rsid w:val="007367E0"/>
    <w:rsid w:val="007370A9"/>
    <w:rsid w:val="0073736D"/>
    <w:rsid w:val="00740FC3"/>
    <w:rsid w:val="007415E3"/>
    <w:rsid w:val="00741754"/>
    <w:rsid w:val="00741F47"/>
    <w:rsid w:val="00744532"/>
    <w:rsid w:val="00744B89"/>
    <w:rsid w:val="007451CC"/>
    <w:rsid w:val="00745268"/>
    <w:rsid w:val="007455D5"/>
    <w:rsid w:val="00745F0E"/>
    <w:rsid w:val="00746823"/>
    <w:rsid w:val="00746EBD"/>
    <w:rsid w:val="00747043"/>
    <w:rsid w:val="00747839"/>
    <w:rsid w:val="00747866"/>
    <w:rsid w:val="0075011E"/>
    <w:rsid w:val="00751109"/>
    <w:rsid w:val="00751702"/>
    <w:rsid w:val="00752953"/>
    <w:rsid w:val="0075334E"/>
    <w:rsid w:val="00753478"/>
    <w:rsid w:val="00753491"/>
    <w:rsid w:val="00753FC1"/>
    <w:rsid w:val="00754972"/>
    <w:rsid w:val="00754F6C"/>
    <w:rsid w:val="007569E5"/>
    <w:rsid w:val="00756DF7"/>
    <w:rsid w:val="00756E16"/>
    <w:rsid w:val="00756ECD"/>
    <w:rsid w:val="0075773D"/>
    <w:rsid w:val="00760E43"/>
    <w:rsid w:val="00760FE4"/>
    <w:rsid w:val="007615D0"/>
    <w:rsid w:val="00761E25"/>
    <w:rsid w:val="00761FAE"/>
    <w:rsid w:val="00762A4A"/>
    <w:rsid w:val="00762A82"/>
    <w:rsid w:val="0076315B"/>
    <w:rsid w:val="007631AB"/>
    <w:rsid w:val="007631C7"/>
    <w:rsid w:val="00763657"/>
    <w:rsid w:val="007637E8"/>
    <w:rsid w:val="00763C7C"/>
    <w:rsid w:val="0076435A"/>
    <w:rsid w:val="00764480"/>
    <w:rsid w:val="0076484B"/>
    <w:rsid w:val="007649EE"/>
    <w:rsid w:val="00764D35"/>
    <w:rsid w:val="00764D86"/>
    <w:rsid w:val="00765664"/>
    <w:rsid w:val="00766412"/>
    <w:rsid w:val="00766A32"/>
    <w:rsid w:val="0076721B"/>
    <w:rsid w:val="00767A30"/>
    <w:rsid w:val="00767F6B"/>
    <w:rsid w:val="00770193"/>
    <w:rsid w:val="0077059C"/>
    <w:rsid w:val="00770E60"/>
    <w:rsid w:val="00771021"/>
    <w:rsid w:val="007717FE"/>
    <w:rsid w:val="00772167"/>
    <w:rsid w:val="0077359C"/>
    <w:rsid w:val="00773EDB"/>
    <w:rsid w:val="007743AC"/>
    <w:rsid w:val="0077440B"/>
    <w:rsid w:val="00775BF0"/>
    <w:rsid w:val="00775E7D"/>
    <w:rsid w:val="007765A4"/>
    <w:rsid w:val="00776C0A"/>
    <w:rsid w:val="00776D39"/>
    <w:rsid w:val="0077729B"/>
    <w:rsid w:val="007800E6"/>
    <w:rsid w:val="007807A8"/>
    <w:rsid w:val="00780A71"/>
    <w:rsid w:val="00780A86"/>
    <w:rsid w:val="00780C4B"/>
    <w:rsid w:val="00780C78"/>
    <w:rsid w:val="00781620"/>
    <w:rsid w:val="007817BA"/>
    <w:rsid w:val="0078197B"/>
    <w:rsid w:val="007819C8"/>
    <w:rsid w:val="00781C4A"/>
    <w:rsid w:val="00781D97"/>
    <w:rsid w:val="00782026"/>
    <w:rsid w:val="007821A5"/>
    <w:rsid w:val="00782803"/>
    <w:rsid w:val="007828EA"/>
    <w:rsid w:val="0078320B"/>
    <w:rsid w:val="00783FCA"/>
    <w:rsid w:val="007849B2"/>
    <w:rsid w:val="00785D56"/>
    <w:rsid w:val="00786138"/>
    <w:rsid w:val="00786D13"/>
    <w:rsid w:val="00787C21"/>
    <w:rsid w:val="007911D1"/>
    <w:rsid w:val="00791C16"/>
    <w:rsid w:val="00793018"/>
    <w:rsid w:val="0079305F"/>
    <w:rsid w:val="00794A7B"/>
    <w:rsid w:val="00794CF9"/>
    <w:rsid w:val="00794E5A"/>
    <w:rsid w:val="00795515"/>
    <w:rsid w:val="00795838"/>
    <w:rsid w:val="0079641A"/>
    <w:rsid w:val="0079649B"/>
    <w:rsid w:val="00796F30"/>
    <w:rsid w:val="00797A6B"/>
    <w:rsid w:val="007A0D73"/>
    <w:rsid w:val="007A0D80"/>
    <w:rsid w:val="007A10F4"/>
    <w:rsid w:val="007A167D"/>
    <w:rsid w:val="007A1970"/>
    <w:rsid w:val="007A2B04"/>
    <w:rsid w:val="007A2F28"/>
    <w:rsid w:val="007A36BE"/>
    <w:rsid w:val="007A44E7"/>
    <w:rsid w:val="007A46C5"/>
    <w:rsid w:val="007A5016"/>
    <w:rsid w:val="007A50A8"/>
    <w:rsid w:val="007A52D1"/>
    <w:rsid w:val="007A578C"/>
    <w:rsid w:val="007A6D77"/>
    <w:rsid w:val="007A6E04"/>
    <w:rsid w:val="007A7A78"/>
    <w:rsid w:val="007B0036"/>
    <w:rsid w:val="007B0D5F"/>
    <w:rsid w:val="007B0D88"/>
    <w:rsid w:val="007B0E24"/>
    <w:rsid w:val="007B14FD"/>
    <w:rsid w:val="007B1651"/>
    <w:rsid w:val="007B175F"/>
    <w:rsid w:val="007B44C5"/>
    <w:rsid w:val="007B46A1"/>
    <w:rsid w:val="007B515C"/>
    <w:rsid w:val="007B58EF"/>
    <w:rsid w:val="007B5B8A"/>
    <w:rsid w:val="007B5C18"/>
    <w:rsid w:val="007B6EB1"/>
    <w:rsid w:val="007C03DA"/>
    <w:rsid w:val="007C0F1E"/>
    <w:rsid w:val="007C0F6D"/>
    <w:rsid w:val="007C21B3"/>
    <w:rsid w:val="007C233B"/>
    <w:rsid w:val="007C2402"/>
    <w:rsid w:val="007C3228"/>
    <w:rsid w:val="007C357E"/>
    <w:rsid w:val="007C4033"/>
    <w:rsid w:val="007C43F3"/>
    <w:rsid w:val="007C5808"/>
    <w:rsid w:val="007C6F2C"/>
    <w:rsid w:val="007C75AB"/>
    <w:rsid w:val="007D0E17"/>
    <w:rsid w:val="007D0E3B"/>
    <w:rsid w:val="007D1257"/>
    <w:rsid w:val="007D125F"/>
    <w:rsid w:val="007D18D6"/>
    <w:rsid w:val="007D229C"/>
    <w:rsid w:val="007D2D3B"/>
    <w:rsid w:val="007D2EA6"/>
    <w:rsid w:val="007D333D"/>
    <w:rsid w:val="007D47A4"/>
    <w:rsid w:val="007D4D8F"/>
    <w:rsid w:val="007D6E2D"/>
    <w:rsid w:val="007D6F53"/>
    <w:rsid w:val="007D7515"/>
    <w:rsid w:val="007E0A82"/>
    <w:rsid w:val="007E1102"/>
    <w:rsid w:val="007E1D80"/>
    <w:rsid w:val="007E3850"/>
    <w:rsid w:val="007E4E27"/>
    <w:rsid w:val="007E5724"/>
    <w:rsid w:val="007E6D26"/>
    <w:rsid w:val="007E6DAC"/>
    <w:rsid w:val="007E6F2F"/>
    <w:rsid w:val="007E7A44"/>
    <w:rsid w:val="007F0BE4"/>
    <w:rsid w:val="007F0C0D"/>
    <w:rsid w:val="007F1F96"/>
    <w:rsid w:val="007F2B11"/>
    <w:rsid w:val="007F2F4B"/>
    <w:rsid w:val="007F3793"/>
    <w:rsid w:val="007F44D9"/>
    <w:rsid w:val="007F4A35"/>
    <w:rsid w:val="007F4FBA"/>
    <w:rsid w:val="007F6781"/>
    <w:rsid w:val="007F6B4B"/>
    <w:rsid w:val="007F6B93"/>
    <w:rsid w:val="007F704A"/>
    <w:rsid w:val="007F74E6"/>
    <w:rsid w:val="007F750F"/>
    <w:rsid w:val="007F7A13"/>
    <w:rsid w:val="007F7DE2"/>
    <w:rsid w:val="00800EA6"/>
    <w:rsid w:val="0080197D"/>
    <w:rsid w:val="00801CDC"/>
    <w:rsid w:val="00801FF4"/>
    <w:rsid w:val="00803A01"/>
    <w:rsid w:val="00803DC2"/>
    <w:rsid w:val="0080480C"/>
    <w:rsid w:val="008049F9"/>
    <w:rsid w:val="00804E84"/>
    <w:rsid w:val="00805797"/>
    <w:rsid w:val="008058DB"/>
    <w:rsid w:val="00806CC6"/>
    <w:rsid w:val="00806D90"/>
    <w:rsid w:val="00807155"/>
    <w:rsid w:val="00812836"/>
    <w:rsid w:val="00812EEA"/>
    <w:rsid w:val="00813052"/>
    <w:rsid w:val="0081393E"/>
    <w:rsid w:val="008153DB"/>
    <w:rsid w:val="00815AA3"/>
    <w:rsid w:val="00815E2C"/>
    <w:rsid w:val="00816CB1"/>
    <w:rsid w:val="008175CF"/>
    <w:rsid w:val="00817602"/>
    <w:rsid w:val="008176E2"/>
    <w:rsid w:val="0082034D"/>
    <w:rsid w:val="008210AE"/>
    <w:rsid w:val="0082157A"/>
    <w:rsid w:val="0082275E"/>
    <w:rsid w:val="008227D6"/>
    <w:rsid w:val="00823BC0"/>
    <w:rsid w:val="00824369"/>
    <w:rsid w:val="008243CC"/>
    <w:rsid w:val="00824A5B"/>
    <w:rsid w:val="00825C7D"/>
    <w:rsid w:val="008262E7"/>
    <w:rsid w:val="00826399"/>
    <w:rsid w:val="0082734F"/>
    <w:rsid w:val="00827BAD"/>
    <w:rsid w:val="008300FD"/>
    <w:rsid w:val="00830414"/>
    <w:rsid w:val="008318EB"/>
    <w:rsid w:val="00832AA1"/>
    <w:rsid w:val="00834343"/>
    <w:rsid w:val="0083532D"/>
    <w:rsid w:val="0083560D"/>
    <w:rsid w:val="00835BC4"/>
    <w:rsid w:val="00836AAE"/>
    <w:rsid w:val="00836E95"/>
    <w:rsid w:val="00837949"/>
    <w:rsid w:val="0084002A"/>
    <w:rsid w:val="00840978"/>
    <w:rsid w:val="00842688"/>
    <w:rsid w:val="00842722"/>
    <w:rsid w:val="00842ADC"/>
    <w:rsid w:val="00842CE2"/>
    <w:rsid w:val="00843460"/>
    <w:rsid w:val="00844C2D"/>
    <w:rsid w:val="00844E1B"/>
    <w:rsid w:val="008458DC"/>
    <w:rsid w:val="0084625A"/>
    <w:rsid w:val="00846A18"/>
    <w:rsid w:val="00846C2C"/>
    <w:rsid w:val="00847D7D"/>
    <w:rsid w:val="008509D5"/>
    <w:rsid w:val="00850BCC"/>
    <w:rsid w:val="00851BA4"/>
    <w:rsid w:val="00853045"/>
    <w:rsid w:val="0085365F"/>
    <w:rsid w:val="00853D22"/>
    <w:rsid w:val="008542F5"/>
    <w:rsid w:val="008551E0"/>
    <w:rsid w:val="00855370"/>
    <w:rsid w:val="008555B9"/>
    <w:rsid w:val="00855B68"/>
    <w:rsid w:val="00855CE7"/>
    <w:rsid w:val="008569BC"/>
    <w:rsid w:val="00856DAE"/>
    <w:rsid w:val="00856DCB"/>
    <w:rsid w:val="00856E12"/>
    <w:rsid w:val="00860A33"/>
    <w:rsid w:val="00860A96"/>
    <w:rsid w:val="00860D15"/>
    <w:rsid w:val="008619A3"/>
    <w:rsid w:val="00862310"/>
    <w:rsid w:val="0086252D"/>
    <w:rsid w:val="008637D7"/>
    <w:rsid w:val="0086482D"/>
    <w:rsid w:val="0086522C"/>
    <w:rsid w:val="00865793"/>
    <w:rsid w:val="00865EB2"/>
    <w:rsid w:val="0086629D"/>
    <w:rsid w:val="00866A7F"/>
    <w:rsid w:val="00866EE9"/>
    <w:rsid w:val="0086704F"/>
    <w:rsid w:val="008677A5"/>
    <w:rsid w:val="0087138C"/>
    <w:rsid w:val="0087143D"/>
    <w:rsid w:val="00872E6C"/>
    <w:rsid w:val="00873413"/>
    <w:rsid w:val="008748B7"/>
    <w:rsid w:val="00875033"/>
    <w:rsid w:val="008768B6"/>
    <w:rsid w:val="0087728B"/>
    <w:rsid w:val="0087753D"/>
    <w:rsid w:val="00877F88"/>
    <w:rsid w:val="0088016F"/>
    <w:rsid w:val="00880F2D"/>
    <w:rsid w:val="00881555"/>
    <w:rsid w:val="0088159F"/>
    <w:rsid w:val="00881C97"/>
    <w:rsid w:val="0088312C"/>
    <w:rsid w:val="00883F82"/>
    <w:rsid w:val="008853B4"/>
    <w:rsid w:val="008858FE"/>
    <w:rsid w:val="00885D36"/>
    <w:rsid w:val="0088636B"/>
    <w:rsid w:val="00886732"/>
    <w:rsid w:val="00886B88"/>
    <w:rsid w:val="00886DF8"/>
    <w:rsid w:val="0088735C"/>
    <w:rsid w:val="008873E8"/>
    <w:rsid w:val="00887865"/>
    <w:rsid w:val="008902DC"/>
    <w:rsid w:val="00890E80"/>
    <w:rsid w:val="00890F35"/>
    <w:rsid w:val="00891165"/>
    <w:rsid w:val="008924B1"/>
    <w:rsid w:val="008928CD"/>
    <w:rsid w:val="00892B67"/>
    <w:rsid w:val="00893FFA"/>
    <w:rsid w:val="00894030"/>
    <w:rsid w:val="008951F7"/>
    <w:rsid w:val="008959A8"/>
    <w:rsid w:val="00896066"/>
    <w:rsid w:val="00896351"/>
    <w:rsid w:val="00896409"/>
    <w:rsid w:val="00896E9E"/>
    <w:rsid w:val="008977A1"/>
    <w:rsid w:val="008A030A"/>
    <w:rsid w:val="008A05D6"/>
    <w:rsid w:val="008A0A71"/>
    <w:rsid w:val="008A0F40"/>
    <w:rsid w:val="008A19FB"/>
    <w:rsid w:val="008A251F"/>
    <w:rsid w:val="008A3964"/>
    <w:rsid w:val="008A3F55"/>
    <w:rsid w:val="008A4CFA"/>
    <w:rsid w:val="008A5D46"/>
    <w:rsid w:val="008A5EBA"/>
    <w:rsid w:val="008A71D2"/>
    <w:rsid w:val="008B0387"/>
    <w:rsid w:val="008B040E"/>
    <w:rsid w:val="008B07AD"/>
    <w:rsid w:val="008B0BD6"/>
    <w:rsid w:val="008B2C29"/>
    <w:rsid w:val="008B2D18"/>
    <w:rsid w:val="008B30FE"/>
    <w:rsid w:val="008B397A"/>
    <w:rsid w:val="008B3A2E"/>
    <w:rsid w:val="008B3D12"/>
    <w:rsid w:val="008B3DA1"/>
    <w:rsid w:val="008B50F8"/>
    <w:rsid w:val="008B544F"/>
    <w:rsid w:val="008B5832"/>
    <w:rsid w:val="008B5F66"/>
    <w:rsid w:val="008B62DC"/>
    <w:rsid w:val="008B6BA3"/>
    <w:rsid w:val="008B72AB"/>
    <w:rsid w:val="008B7500"/>
    <w:rsid w:val="008B7B47"/>
    <w:rsid w:val="008C002B"/>
    <w:rsid w:val="008C0835"/>
    <w:rsid w:val="008C0894"/>
    <w:rsid w:val="008C0FEB"/>
    <w:rsid w:val="008C233F"/>
    <w:rsid w:val="008C5AD5"/>
    <w:rsid w:val="008C5B52"/>
    <w:rsid w:val="008C6947"/>
    <w:rsid w:val="008C7D86"/>
    <w:rsid w:val="008D095F"/>
    <w:rsid w:val="008D12B3"/>
    <w:rsid w:val="008D1BAC"/>
    <w:rsid w:val="008D21EE"/>
    <w:rsid w:val="008D2EE5"/>
    <w:rsid w:val="008D363F"/>
    <w:rsid w:val="008D47E1"/>
    <w:rsid w:val="008D4A5C"/>
    <w:rsid w:val="008D5D65"/>
    <w:rsid w:val="008D6CE1"/>
    <w:rsid w:val="008D778B"/>
    <w:rsid w:val="008D77B5"/>
    <w:rsid w:val="008E047A"/>
    <w:rsid w:val="008E093C"/>
    <w:rsid w:val="008E133E"/>
    <w:rsid w:val="008E1ED6"/>
    <w:rsid w:val="008E2CAD"/>
    <w:rsid w:val="008E30F1"/>
    <w:rsid w:val="008E47DC"/>
    <w:rsid w:val="008E4AC6"/>
    <w:rsid w:val="008E552F"/>
    <w:rsid w:val="008E6A95"/>
    <w:rsid w:val="008F1003"/>
    <w:rsid w:val="008F146F"/>
    <w:rsid w:val="008F1978"/>
    <w:rsid w:val="008F19B1"/>
    <w:rsid w:val="008F1A7A"/>
    <w:rsid w:val="008F3F0B"/>
    <w:rsid w:val="008F46FF"/>
    <w:rsid w:val="008F53D0"/>
    <w:rsid w:val="008F60DA"/>
    <w:rsid w:val="008F64E7"/>
    <w:rsid w:val="008F73FD"/>
    <w:rsid w:val="008F756B"/>
    <w:rsid w:val="00900691"/>
    <w:rsid w:val="00900763"/>
    <w:rsid w:val="00904F8E"/>
    <w:rsid w:val="009051CE"/>
    <w:rsid w:val="00906504"/>
    <w:rsid w:val="0090780F"/>
    <w:rsid w:val="00907DCD"/>
    <w:rsid w:val="00910B77"/>
    <w:rsid w:val="009114BB"/>
    <w:rsid w:val="00912221"/>
    <w:rsid w:val="0091466E"/>
    <w:rsid w:val="00914789"/>
    <w:rsid w:val="00916CFA"/>
    <w:rsid w:val="00916D59"/>
    <w:rsid w:val="00917608"/>
    <w:rsid w:val="00917718"/>
    <w:rsid w:val="0092032C"/>
    <w:rsid w:val="00921A18"/>
    <w:rsid w:val="009235CF"/>
    <w:rsid w:val="00923F5C"/>
    <w:rsid w:val="0092418C"/>
    <w:rsid w:val="0092514B"/>
    <w:rsid w:val="009260AF"/>
    <w:rsid w:val="009268FE"/>
    <w:rsid w:val="0092716E"/>
    <w:rsid w:val="00927B33"/>
    <w:rsid w:val="00930108"/>
    <w:rsid w:val="009308BF"/>
    <w:rsid w:val="009316A6"/>
    <w:rsid w:val="0093240E"/>
    <w:rsid w:val="00932CCA"/>
    <w:rsid w:val="00932CEA"/>
    <w:rsid w:val="009337BB"/>
    <w:rsid w:val="00933E37"/>
    <w:rsid w:val="00933EDF"/>
    <w:rsid w:val="00934087"/>
    <w:rsid w:val="00934E40"/>
    <w:rsid w:val="00935479"/>
    <w:rsid w:val="00935C3C"/>
    <w:rsid w:val="00936E69"/>
    <w:rsid w:val="0093728D"/>
    <w:rsid w:val="00937425"/>
    <w:rsid w:val="00940856"/>
    <w:rsid w:val="00940B7D"/>
    <w:rsid w:val="0094115F"/>
    <w:rsid w:val="009427CE"/>
    <w:rsid w:val="00942DCC"/>
    <w:rsid w:val="009434CB"/>
    <w:rsid w:val="00943B95"/>
    <w:rsid w:val="00944231"/>
    <w:rsid w:val="0094638E"/>
    <w:rsid w:val="009468CD"/>
    <w:rsid w:val="00947798"/>
    <w:rsid w:val="00947A94"/>
    <w:rsid w:val="00950741"/>
    <w:rsid w:val="00951C37"/>
    <w:rsid w:val="00951C98"/>
    <w:rsid w:val="00952AAD"/>
    <w:rsid w:val="00952F38"/>
    <w:rsid w:val="00953314"/>
    <w:rsid w:val="00953B30"/>
    <w:rsid w:val="009541E4"/>
    <w:rsid w:val="009554A5"/>
    <w:rsid w:val="00955B1C"/>
    <w:rsid w:val="0095611F"/>
    <w:rsid w:val="009567A9"/>
    <w:rsid w:val="00957730"/>
    <w:rsid w:val="00960C57"/>
    <w:rsid w:val="00961771"/>
    <w:rsid w:val="009617E0"/>
    <w:rsid w:val="00963140"/>
    <w:rsid w:val="00963CEC"/>
    <w:rsid w:val="0096448A"/>
    <w:rsid w:val="00965F30"/>
    <w:rsid w:val="00966119"/>
    <w:rsid w:val="009670DE"/>
    <w:rsid w:val="0096751D"/>
    <w:rsid w:val="00970172"/>
    <w:rsid w:val="009711F3"/>
    <w:rsid w:val="009714B5"/>
    <w:rsid w:val="00971E2C"/>
    <w:rsid w:val="00973E9D"/>
    <w:rsid w:val="009745E2"/>
    <w:rsid w:val="0097533B"/>
    <w:rsid w:val="00975619"/>
    <w:rsid w:val="009756AB"/>
    <w:rsid w:val="009760A0"/>
    <w:rsid w:val="00976993"/>
    <w:rsid w:val="00976A8E"/>
    <w:rsid w:val="00977429"/>
    <w:rsid w:val="00977C33"/>
    <w:rsid w:val="00980779"/>
    <w:rsid w:val="009816A7"/>
    <w:rsid w:val="00982394"/>
    <w:rsid w:val="009824F8"/>
    <w:rsid w:val="00982F39"/>
    <w:rsid w:val="0098336D"/>
    <w:rsid w:val="00983E82"/>
    <w:rsid w:val="00984C51"/>
    <w:rsid w:val="00984ED1"/>
    <w:rsid w:val="00984F60"/>
    <w:rsid w:val="0098555C"/>
    <w:rsid w:val="00985998"/>
    <w:rsid w:val="00985B72"/>
    <w:rsid w:val="00985CE5"/>
    <w:rsid w:val="009861D9"/>
    <w:rsid w:val="00986A3A"/>
    <w:rsid w:val="00987B4C"/>
    <w:rsid w:val="009903E5"/>
    <w:rsid w:val="00990B56"/>
    <w:rsid w:val="0099155C"/>
    <w:rsid w:val="009918C1"/>
    <w:rsid w:val="0099267B"/>
    <w:rsid w:val="0099287E"/>
    <w:rsid w:val="009930FE"/>
    <w:rsid w:val="0099336E"/>
    <w:rsid w:val="009934CF"/>
    <w:rsid w:val="0099456F"/>
    <w:rsid w:val="00994C4A"/>
    <w:rsid w:val="00995E7B"/>
    <w:rsid w:val="00995FD4"/>
    <w:rsid w:val="00996A8D"/>
    <w:rsid w:val="009A011E"/>
    <w:rsid w:val="009A057A"/>
    <w:rsid w:val="009A0960"/>
    <w:rsid w:val="009A15F3"/>
    <w:rsid w:val="009A15FB"/>
    <w:rsid w:val="009A20F6"/>
    <w:rsid w:val="009A2354"/>
    <w:rsid w:val="009A2C8F"/>
    <w:rsid w:val="009A37CA"/>
    <w:rsid w:val="009A40FB"/>
    <w:rsid w:val="009A500D"/>
    <w:rsid w:val="009A6E7A"/>
    <w:rsid w:val="009A6EC1"/>
    <w:rsid w:val="009A7058"/>
    <w:rsid w:val="009A723D"/>
    <w:rsid w:val="009A7318"/>
    <w:rsid w:val="009A7736"/>
    <w:rsid w:val="009A7A77"/>
    <w:rsid w:val="009B0AEC"/>
    <w:rsid w:val="009B1133"/>
    <w:rsid w:val="009B1764"/>
    <w:rsid w:val="009B1CFC"/>
    <w:rsid w:val="009B2159"/>
    <w:rsid w:val="009B23C2"/>
    <w:rsid w:val="009B3575"/>
    <w:rsid w:val="009B3A68"/>
    <w:rsid w:val="009B488E"/>
    <w:rsid w:val="009B4EE3"/>
    <w:rsid w:val="009B5D44"/>
    <w:rsid w:val="009C11CA"/>
    <w:rsid w:val="009C1412"/>
    <w:rsid w:val="009C17FD"/>
    <w:rsid w:val="009C2305"/>
    <w:rsid w:val="009C34B9"/>
    <w:rsid w:val="009C372A"/>
    <w:rsid w:val="009C3C21"/>
    <w:rsid w:val="009C3DA7"/>
    <w:rsid w:val="009C428A"/>
    <w:rsid w:val="009C4EED"/>
    <w:rsid w:val="009C4F18"/>
    <w:rsid w:val="009C506D"/>
    <w:rsid w:val="009C55D6"/>
    <w:rsid w:val="009C62EA"/>
    <w:rsid w:val="009C66A9"/>
    <w:rsid w:val="009C6868"/>
    <w:rsid w:val="009C6DA2"/>
    <w:rsid w:val="009D035C"/>
    <w:rsid w:val="009D0AF4"/>
    <w:rsid w:val="009D112A"/>
    <w:rsid w:val="009D1ACF"/>
    <w:rsid w:val="009D2284"/>
    <w:rsid w:val="009D2E27"/>
    <w:rsid w:val="009D312A"/>
    <w:rsid w:val="009D3142"/>
    <w:rsid w:val="009D334A"/>
    <w:rsid w:val="009D36A5"/>
    <w:rsid w:val="009D3AE6"/>
    <w:rsid w:val="009D3C9F"/>
    <w:rsid w:val="009D4CE8"/>
    <w:rsid w:val="009D4E45"/>
    <w:rsid w:val="009D6B47"/>
    <w:rsid w:val="009D6E61"/>
    <w:rsid w:val="009D78B4"/>
    <w:rsid w:val="009E0109"/>
    <w:rsid w:val="009E118B"/>
    <w:rsid w:val="009E27F4"/>
    <w:rsid w:val="009E2C76"/>
    <w:rsid w:val="009E2DF1"/>
    <w:rsid w:val="009E4171"/>
    <w:rsid w:val="009E4A07"/>
    <w:rsid w:val="009E5642"/>
    <w:rsid w:val="009E564D"/>
    <w:rsid w:val="009F026F"/>
    <w:rsid w:val="009F0850"/>
    <w:rsid w:val="009F1397"/>
    <w:rsid w:val="009F2287"/>
    <w:rsid w:val="009F2BEF"/>
    <w:rsid w:val="009F2E0A"/>
    <w:rsid w:val="009F3060"/>
    <w:rsid w:val="009F3820"/>
    <w:rsid w:val="009F3D0E"/>
    <w:rsid w:val="009F4D21"/>
    <w:rsid w:val="009F6159"/>
    <w:rsid w:val="009F6DEF"/>
    <w:rsid w:val="009F7454"/>
    <w:rsid w:val="009F75BD"/>
    <w:rsid w:val="009F7A05"/>
    <w:rsid w:val="00A01DFD"/>
    <w:rsid w:val="00A03F1D"/>
    <w:rsid w:val="00A043E8"/>
    <w:rsid w:val="00A04FA3"/>
    <w:rsid w:val="00A05812"/>
    <w:rsid w:val="00A05ECB"/>
    <w:rsid w:val="00A06125"/>
    <w:rsid w:val="00A06513"/>
    <w:rsid w:val="00A06575"/>
    <w:rsid w:val="00A06DA5"/>
    <w:rsid w:val="00A07F16"/>
    <w:rsid w:val="00A1032A"/>
    <w:rsid w:val="00A109DC"/>
    <w:rsid w:val="00A10E29"/>
    <w:rsid w:val="00A10EFD"/>
    <w:rsid w:val="00A10FC0"/>
    <w:rsid w:val="00A121B3"/>
    <w:rsid w:val="00A12C74"/>
    <w:rsid w:val="00A135C8"/>
    <w:rsid w:val="00A137D8"/>
    <w:rsid w:val="00A14F63"/>
    <w:rsid w:val="00A152F8"/>
    <w:rsid w:val="00A153D5"/>
    <w:rsid w:val="00A15DD0"/>
    <w:rsid w:val="00A15EEB"/>
    <w:rsid w:val="00A1692B"/>
    <w:rsid w:val="00A16BDB"/>
    <w:rsid w:val="00A178FA"/>
    <w:rsid w:val="00A20009"/>
    <w:rsid w:val="00A20020"/>
    <w:rsid w:val="00A22647"/>
    <w:rsid w:val="00A23100"/>
    <w:rsid w:val="00A23F8C"/>
    <w:rsid w:val="00A24639"/>
    <w:rsid w:val="00A2470E"/>
    <w:rsid w:val="00A24C75"/>
    <w:rsid w:val="00A24E70"/>
    <w:rsid w:val="00A2523B"/>
    <w:rsid w:val="00A2533A"/>
    <w:rsid w:val="00A25609"/>
    <w:rsid w:val="00A25714"/>
    <w:rsid w:val="00A257BF"/>
    <w:rsid w:val="00A261CA"/>
    <w:rsid w:val="00A26BC5"/>
    <w:rsid w:val="00A26E9C"/>
    <w:rsid w:val="00A27132"/>
    <w:rsid w:val="00A30095"/>
    <w:rsid w:val="00A30CB8"/>
    <w:rsid w:val="00A3369D"/>
    <w:rsid w:val="00A336AA"/>
    <w:rsid w:val="00A33E34"/>
    <w:rsid w:val="00A341FF"/>
    <w:rsid w:val="00A34B7D"/>
    <w:rsid w:val="00A35FA2"/>
    <w:rsid w:val="00A3645D"/>
    <w:rsid w:val="00A36575"/>
    <w:rsid w:val="00A365B0"/>
    <w:rsid w:val="00A37208"/>
    <w:rsid w:val="00A37F70"/>
    <w:rsid w:val="00A400BC"/>
    <w:rsid w:val="00A405FD"/>
    <w:rsid w:val="00A40AB4"/>
    <w:rsid w:val="00A41ABF"/>
    <w:rsid w:val="00A41C44"/>
    <w:rsid w:val="00A42D9B"/>
    <w:rsid w:val="00A43DD9"/>
    <w:rsid w:val="00A43E1E"/>
    <w:rsid w:val="00A44B58"/>
    <w:rsid w:val="00A44D2A"/>
    <w:rsid w:val="00A45372"/>
    <w:rsid w:val="00A465CA"/>
    <w:rsid w:val="00A4680C"/>
    <w:rsid w:val="00A515BB"/>
    <w:rsid w:val="00A52E27"/>
    <w:rsid w:val="00A53CA1"/>
    <w:rsid w:val="00A55EEB"/>
    <w:rsid w:val="00A56078"/>
    <w:rsid w:val="00A56BBC"/>
    <w:rsid w:val="00A6045B"/>
    <w:rsid w:val="00A612CF"/>
    <w:rsid w:val="00A6182B"/>
    <w:rsid w:val="00A62017"/>
    <w:rsid w:val="00A62158"/>
    <w:rsid w:val="00A62C7D"/>
    <w:rsid w:val="00A660C9"/>
    <w:rsid w:val="00A66244"/>
    <w:rsid w:val="00A6652B"/>
    <w:rsid w:val="00A66C85"/>
    <w:rsid w:val="00A670B8"/>
    <w:rsid w:val="00A6713A"/>
    <w:rsid w:val="00A6729B"/>
    <w:rsid w:val="00A679B3"/>
    <w:rsid w:val="00A679FD"/>
    <w:rsid w:val="00A67F7A"/>
    <w:rsid w:val="00A67FB7"/>
    <w:rsid w:val="00A70E04"/>
    <w:rsid w:val="00A7139D"/>
    <w:rsid w:val="00A71CA2"/>
    <w:rsid w:val="00A71FC2"/>
    <w:rsid w:val="00A72F6D"/>
    <w:rsid w:val="00A737B1"/>
    <w:rsid w:val="00A7432E"/>
    <w:rsid w:val="00A74AEB"/>
    <w:rsid w:val="00A7529D"/>
    <w:rsid w:val="00A754A5"/>
    <w:rsid w:val="00A75BAB"/>
    <w:rsid w:val="00A76646"/>
    <w:rsid w:val="00A7671C"/>
    <w:rsid w:val="00A76BF3"/>
    <w:rsid w:val="00A77747"/>
    <w:rsid w:val="00A77A05"/>
    <w:rsid w:val="00A80626"/>
    <w:rsid w:val="00A80A6B"/>
    <w:rsid w:val="00A80DD6"/>
    <w:rsid w:val="00A80ED2"/>
    <w:rsid w:val="00A81A8F"/>
    <w:rsid w:val="00A83B4B"/>
    <w:rsid w:val="00A840CA"/>
    <w:rsid w:val="00A844DC"/>
    <w:rsid w:val="00A85535"/>
    <w:rsid w:val="00A863F9"/>
    <w:rsid w:val="00A875E1"/>
    <w:rsid w:val="00A87846"/>
    <w:rsid w:val="00A87A08"/>
    <w:rsid w:val="00A87C07"/>
    <w:rsid w:val="00A91834"/>
    <w:rsid w:val="00A92822"/>
    <w:rsid w:val="00A940F8"/>
    <w:rsid w:val="00A947B4"/>
    <w:rsid w:val="00A94913"/>
    <w:rsid w:val="00A94AF9"/>
    <w:rsid w:val="00A9630E"/>
    <w:rsid w:val="00A963FB"/>
    <w:rsid w:val="00A96EB0"/>
    <w:rsid w:val="00AA02C4"/>
    <w:rsid w:val="00AA0385"/>
    <w:rsid w:val="00AA0440"/>
    <w:rsid w:val="00AA1189"/>
    <w:rsid w:val="00AA13D6"/>
    <w:rsid w:val="00AA2609"/>
    <w:rsid w:val="00AA3D4F"/>
    <w:rsid w:val="00AA41D7"/>
    <w:rsid w:val="00AA4EBA"/>
    <w:rsid w:val="00AA5CF6"/>
    <w:rsid w:val="00AA6CB8"/>
    <w:rsid w:val="00AA720A"/>
    <w:rsid w:val="00AB076A"/>
    <w:rsid w:val="00AB0817"/>
    <w:rsid w:val="00AB08C2"/>
    <w:rsid w:val="00AB102D"/>
    <w:rsid w:val="00AB14B0"/>
    <w:rsid w:val="00AB22A3"/>
    <w:rsid w:val="00AB25AE"/>
    <w:rsid w:val="00AB2918"/>
    <w:rsid w:val="00AB388F"/>
    <w:rsid w:val="00AB54B0"/>
    <w:rsid w:val="00AB5F97"/>
    <w:rsid w:val="00AB634D"/>
    <w:rsid w:val="00AB687C"/>
    <w:rsid w:val="00AB6B61"/>
    <w:rsid w:val="00AB7A6E"/>
    <w:rsid w:val="00AB7DCC"/>
    <w:rsid w:val="00AC049E"/>
    <w:rsid w:val="00AC1719"/>
    <w:rsid w:val="00AC2288"/>
    <w:rsid w:val="00AC37AD"/>
    <w:rsid w:val="00AC3880"/>
    <w:rsid w:val="00AC3B71"/>
    <w:rsid w:val="00AC3BDF"/>
    <w:rsid w:val="00AC3D65"/>
    <w:rsid w:val="00AC4283"/>
    <w:rsid w:val="00AC4B2F"/>
    <w:rsid w:val="00AC519C"/>
    <w:rsid w:val="00AC52A3"/>
    <w:rsid w:val="00AC6119"/>
    <w:rsid w:val="00AC71A3"/>
    <w:rsid w:val="00AC7D0E"/>
    <w:rsid w:val="00AD0CA2"/>
    <w:rsid w:val="00AD18AC"/>
    <w:rsid w:val="00AD25F2"/>
    <w:rsid w:val="00AD280F"/>
    <w:rsid w:val="00AD4270"/>
    <w:rsid w:val="00AD56DE"/>
    <w:rsid w:val="00AD6006"/>
    <w:rsid w:val="00AD622F"/>
    <w:rsid w:val="00AD648E"/>
    <w:rsid w:val="00AD64A2"/>
    <w:rsid w:val="00AD712B"/>
    <w:rsid w:val="00AD71D0"/>
    <w:rsid w:val="00AD7F60"/>
    <w:rsid w:val="00AE1B02"/>
    <w:rsid w:val="00AE263F"/>
    <w:rsid w:val="00AE265F"/>
    <w:rsid w:val="00AE329F"/>
    <w:rsid w:val="00AE38D5"/>
    <w:rsid w:val="00AE3B6B"/>
    <w:rsid w:val="00AE4476"/>
    <w:rsid w:val="00AE4FF1"/>
    <w:rsid w:val="00AE55CD"/>
    <w:rsid w:val="00AE5CED"/>
    <w:rsid w:val="00AE6F88"/>
    <w:rsid w:val="00AE72B5"/>
    <w:rsid w:val="00AF2F98"/>
    <w:rsid w:val="00AF327B"/>
    <w:rsid w:val="00AF462F"/>
    <w:rsid w:val="00AF5418"/>
    <w:rsid w:val="00AF6AD4"/>
    <w:rsid w:val="00AF6BE1"/>
    <w:rsid w:val="00AF76E2"/>
    <w:rsid w:val="00B005F4"/>
    <w:rsid w:val="00B010D8"/>
    <w:rsid w:val="00B01D44"/>
    <w:rsid w:val="00B02B3B"/>
    <w:rsid w:val="00B0410A"/>
    <w:rsid w:val="00B04EEB"/>
    <w:rsid w:val="00B05B79"/>
    <w:rsid w:val="00B07B0F"/>
    <w:rsid w:val="00B108DD"/>
    <w:rsid w:val="00B10E48"/>
    <w:rsid w:val="00B11687"/>
    <w:rsid w:val="00B119E0"/>
    <w:rsid w:val="00B1261B"/>
    <w:rsid w:val="00B1281D"/>
    <w:rsid w:val="00B1350A"/>
    <w:rsid w:val="00B14020"/>
    <w:rsid w:val="00B149C2"/>
    <w:rsid w:val="00B15DCC"/>
    <w:rsid w:val="00B169CB"/>
    <w:rsid w:val="00B17247"/>
    <w:rsid w:val="00B20014"/>
    <w:rsid w:val="00B20459"/>
    <w:rsid w:val="00B21560"/>
    <w:rsid w:val="00B22B66"/>
    <w:rsid w:val="00B22C0B"/>
    <w:rsid w:val="00B23564"/>
    <w:rsid w:val="00B24B29"/>
    <w:rsid w:val="00B27478"/>
    <w:rsid w:val="00B2776F"/>
    <w:rsid w:val="00B3195B"/>
    <w:rsid w:val="00B31B02"/>
    <w:rsid w:val="00B324C1"/>
    <w:rsid w:val="00B32CB2"/>
    <w:rsid w:val="00B32DE1"/>
    <w:rsid w:val="00B3458B"/>
    <w:rsid w:val="00B34871"/>
    <w:rsid w:val="00B34D08"/>
    <w:rsid w:val="00B35AD6"/>
    <w:rsid w:val="00B3646C"/>
    <w:rsid w:val="00B376E5"/>
    <w:rsid w:val="00B37D1F"/>
    <w:rsid w:val="00B406ED"/>
    <w:rsid w:val="00B40B80"/>
    <w:rsid w:val="00B41E74"/>
    <w:rsid w:val="00B41EE7"/>
    <w:rsid w:val="00B43342"/>
    <w:rsid w:val="00B43544"/>
    <w:rsid w:val="00B43D2F"/>
    <w:rsid w:val="00B43FB4"/>
    <w:rsid w:val="00B44BC8"/>
    <w:rsid w:val="00B45E13"/>
    <w:rsid w:val="00B46021"/>
    <w:rsid w:val="00B46A8F"/>
    <w:rsid w:val="00B47ECB"/>
    <w:rsid w:val="00B51178"/>
    <w:rsid w:val="00B51924"/>
    <w:rsid w:val="00B51D4C"/>
    <w:rsid w:val="00B52593"/>
    <w:rsid w:val="00B52F10"/>
    <w:rsid w:val="00B52F6C"/>
    <w:rsid w:val="00B533AB"/>
    <w:rsid w:val="00B53555"/>
    <w:rsid w:val="00B53824"/>
    <w:rsid w:val="00B5457F"/>
    <w:rsid w:val="00B5464D"/>
    <w:rsid w:val="00B5499B"/>
    <w:rsid w:val="00B54A9D"/>
    <w:rsid w:val="00B5558A"/>
    <w:rsid w:val="00B55BEB"/>
    <w:rsid w:val="00B560F4"/>
    <w:rsid w:val="00B5636A"/>
    <w:rsid w:val="00B56DF1"/>
    <w:rsid w:val="00B57BC2"/>
    <w:rsid w:val="00B60D3E"/>
    <w:rsid w:val="00B629E7"/>
    <w:rsid w:val="00B62F26"/>
    <w:rsid w:val="00B636A5"/>
    <w:rsid w:val="00B652BB"/>
    <w:rsid w:val="00B665A7"/>
    <w:rsid w:val="00B66DB2"/>
    <w:rsid w:val="00B675A8"/>
    <w:rsid w:val="00B676A9"/>
    <w:rsid w:val="00B679F5"/>
    <w:rsid w:val="00B70855"/>
    <w:rsid w:val="00B7096F"/>
    <w:rsid w:val="00B71190"/>
    <w:rsid w:val="00B71D66"/>
    <w:rsid w:val="00B722FB"/>
    <w:rsid w:val="00B72742"/>
    <w:rsid w:val="00B72B54"/>
    <w:rsid w:val="00B73202"/>
    <w:rsid w:val="00B73211"/>
    <w:rsid w:val="00B734B3"/>
    <w:rsid w:val="00B736EC"/>
    <w:rsid w:val="00B7614A"/>
    <w:rsid w:val="00B76B84"/>
    <w:rsid w:val="00B77542"/>
    <w:rsid w:val="00B77CEC"/>
    <w:rsid w:val="00B802C6"/>
    <w:rsid w:val="00B809F7"/>
    <w:rsid w:val="00B81402"/>
    <w:rsid w:val="00B818BE"/>
    <w:rsid w:val="00B81D9E"/>
    <w:rsid w:val="00B8323E"/>
    <w:rsid w:val="00B8327B"/>
    <w:rsid w:val="00B8488E"/>
    <w:rsid w:val="00B84EF5"/>
    <w:rsid w:val="00B86B1D"/>
    <w:rsid w:val="00B86C1F"/>
    <w:rsid w:val="00B86E7A"/>
    <w:rsid w:val="00B87C0A"/>
    <w:rsid w:val="00B87DFE"/>
    <w:rsid w:val="00B9062B"/>
    <w:rsid w:val="00B907B7"/>
    <w:rsid w:val="00B90EAE"/>
    <w:rsid w:val="00B913C6"/>
    <w:rsid w:val="00B9159C"/>
    <w:rsid w:val="00B916F5"/>
    <w:rsid w:val="00B91CC4"/>
    <w:rsid w:val="00B920BC"/>
    <w:rsid w:val="00B9213E"/>
    <w:rsid w:val="00B92281"/>
    <w:rsid w:val="00B92610"/>
    <w:rsid w:val="00B93637"/>
    <w:rsid w:val="00B95250"/>
    <w:rsid w:val="00B96CBC"/>
    <w:rsid w:val="00B975DD"/>
    <w:rsid w:val="00B97674"/>
    <w:rsid w:val="00B978B3"/>
    <w:rsid w:val="00B979FE"/>
    <w:rsid w:val="00BA0117"/>
    <w:rsid w:val="00BA086B"/>
    <w:rsid w:val="00BA18EE"/>
    <w:rsid w:val="00BA1F6B"/>
    <w:rsid w:val="00BA37E3"/>
    <w:rsid w:val="00BA3AEF"/>
    <w:rsid w:val="00BA419A"/>
    <w:rsid w:val="00BA4340"/>
    <w:rsid w:val="00BA56E8"/>
    <w:rsid w:val="00BA60E8"/>
    <w:rsid w:val="00BA618A"/>
    <w:rsid w:val="00BA7140"/>
    <w:rsid w:val="00BA78E4"/>
    <w:rsid w:val="00BB0BDE"/>
    <w:rsid w:val="00BB0F48"/>
    <w:rsid w:val="00BB12AB"/>
    <w:rsid w:val="00BB2DA6"/>
    <w:rsid w:val="00BB4E8D"/>
    <w:rsid w:val="00BB5CEE"/>
    <w:rsid w:val="00BB7B50"/>
    <w:rsid w:val="00BC0564"/>
    <w:rsid w:val="00BC098B"/>
    <w:rsid w:val="00BC0B41"/>
    <w:rsid w:val="00BC17FA"/>
    <w:rsid w:val="00BC22AF"/>
    <w:rsid w:val="00BC24EC"/>
    <w:rsid w:val="00BC36AA"/>
    <w:rsid w:val="00BC3E4A"/>
    <w:rsid w:val="00BC52C3"/>
    <w:rsid w:val="00BC654E"/>
    <w:rsid w:val="00BC6830"/>
    <w:rsid w:val="00BC6BF0"/>
    <w:rsid w:val="00BC6D5B"/>
    <w:rsid w:val="00BC7620"/>
    <w:rsid w:val="00BC7796"/>
    <w:rsid w:val="00BC7B76"/>
    <w:rsid w:val="00BC7E83"/>
    <w:rsid w:val="00BC7FCA"/>
    <w:rsid w:val="00BD00DE"/>
    <w:rsid w:val="00BD0975"/>
    <w:rsid w:val="00BD0AD2"/>
    <w:rsid w:val="00BD235E"/>
    <w:rsid w:val="00BD3551"/>
    <w:rsid w:val="00BD40AF"/>
    <w:rsid w:val="00BD43FC"/>
    <w:rsid w:val="00BD5891"/>
    <w:rsid w:val="00BD63CC"/>
    <w:rsid w:val="00BD6450"/>
    <w:rsid w:val="00BD6DA2"/>
    <w:rsid w:val="00BD6FE1"/>
    <w:rsid w:val="00BD776F"/>
    <w:rsid w:val="00BD7A76"/>
    <w:rsid w:val="00BD7B58"/>
    <w:rsid w:val="00BD7BAD"/>
    <w:rsid w:val="00BD7D6A"/>
    <w:rsid w:val="00BE0F76"/>
    <w:rsid w:val="00BE14CF"/>
    <w:rsid w:val="00BE1789"/>
    <w:rsid w:val="00BE1AA1"/>
    <w:rsid w:val="00BE1EB7"/>
    <w:rsid w:val="00BE317F"/>
    <w:rsid w:val="00BE3F3E"/>
    <w:rsid w:val="00BE48A4"/>
    <w:rsid w:val="00BE4E90"/>
    <w:rsid w:val="00BE5D60"/>
    <w:rsid w:val="00BE608E"/>
    <w:rsid w:val="00BE63ED"/>
    <w:rsid w:val="00BE68E9"/>
    <w:rsid w:val="00BE69CF"/>
    <w:rsid w:val="00BE6B01"/>
    <w:rsid w:val="00BE78E1"/>
    <w:rsid w:val="00BF0398"/>
    <w:rsid w:val="00BF1B57"/>
    <w:rsid w:val="00BF1EDE"/>
    <w:rsid w:val="00BF20E4"/>
    <w:rsid w:val="00BF2D4B"/>
    <w:rsid w:val="00BF3993"/>
    <w:rsid w:val="00BF4633"/>
    <w:rsid w:val="00BF528C"/>
    <w:rsid w:val="00BF539A"/>
    <w:rsid w:val="00BF56C2"/>
    <w:rsid w:val="00BF5700"/>
    <w:rsid w:val="00BF5AD1"/>
    <w:rsid w:val="00BF5BA0"/>
    <w:rsid w:val="00BF5BC6"/>
    <w:rsid w:val="00BF5E14"/>
    <w:rsid w:val="00BF737D"/>
    <w:rsid w:val="00BF7ADA"/>
    <w:rsid w:val="00C005FA"/>
    <w:rsid w:val="00C00609"/>
    <w:rsid w:val="00C006AC"/>
    <w:rsid w:val="00C008A1"/>
    <w:rsid w:val="00C00C24"/>
    <w:rsid w:val="00C01B81"/>
    <w:rsid w:val="00C0258D"/>
    <w:rsid w:val="00C0272A"/>
    <w:rsid w:val="00C031C9"/>
    <w:rsid w:val="00C03548"/>
    <w:rsid w:val="00C03648"/>
    <w:rsid w:val="00C03A85"/>
    <w:rsid w:val="00C0419B"/>
    <w:rsid w:val="00C047EE"/>
    <w:rsid w:val="00C04CF3"/>
    <w:rsid w:val="00C05001"/>
    <w:rsid w:val="00C0501E"/>
    <w:rsid w:val="00C05DBD"/>
    <w:rsid w:val="00C0612C"/>
    <w:rsid w:val="00C10CB7"/>
    <w:rsid w:val="00C10F9C"/>
    <w:rsid w:val="00C117AF"/>
    <w:rsid w:val="00C11BC3"/>
    <w:rsid w:val="00C12561"/>
    <w:rsid w:val="00C12BB2"/>
    <w:rsid w:val="00C12E3C"/>
    <w:rsid w:val="00C130AE"/>
    <w:rsid w:val="00C13191"/>
    <w:rsid w:val="00C141D4"/>
    <w:rsid w:val="00C15F05"/>
    <w:rsid w:val="00C1623D"/>
    <w:rsid w:val="00C1624B"/>
    <w:rsid w:val="00C16480"/>
    <w:rsid w:val="00C17452"/>
    <w:rsid w:val="00C202A2"/>
    <w:rsid w:val="00C20B41"/>
    <w:rsid w:val="00C21AB7"/>
    <w:rsid w:val="00C220FE"/>
    <w:rsid w:val="00C22224"/>
    <w:rsid w:val="00C227CC"/>
    <w:rsid w:val="00C22BF5"/>
    <w:rsid w:val="00C230D9"/>
    <w:rsid w:val="00C23401"/>
    <w:rsid w:val="00C23D0F"/>
    <w:rsid w:val="00C255C0"/>
    <w:rsid w:val="00C25EC4"/>
    <w:rsid w:val="00C26AE4"/>
    <w:rsid w:val="00C27579"/>
    <w:rsid w:val="00C27826"/>
    <w:rsid w:val="00C30438"/>
    <w:rsid w:val="00C32022"/>
    <w:rsid w:val="00C33502"/>
    <w:rsid w:val="00C3366A"/>
    <w:rsid w:val="00C33A2D"/>
    <w:rsid w:val="00C33BD4"/>
    <w:rsid w:val="00C34F6D"/>
    <w:rsid w:val="00C351CC"/>
    <w:rsid w:val="00C353B0"/>
    <w:rsid w:val="00C354A6"/>
    <w:rsid w:val="00C35BBF"/>
    <w:rsid w:val="00C36F58"/>
    <w:rsid w:val="00C40196"/>
    <w:rsid w:val="00C40904"/>
    <w:rsid w:val="00C4124E"/>
    <w:rsid w:val="00C4179F"/>
    <w:rsid w:val="00C41D26"/>
    <w:rsid w:val="00C42356"/>
    <w:rsid w:val="00C43002"/>
    <w:rsid w:val="00C445E7"/>
    <w:rsid w:val="00C449D8"/>
    <w:rsid w:val="00C4526D"/>
    <w:rsid w:val="00C463CA"/>
    <w:rsid w:val="00C464A6"/>
    <w:rsid w:val="00C46883"/>
    <w:rsid w:val="00C47F46"/>
    <w:rsid w:val="00C50015"/>
    <w:rsid w:val="00C50DD5"/>
    <w:rsid w:val="00C50F2D"/>
    <w:rsid w:val="00C51E9D"/>
    <w:rsid w:val="00C523AD"/>
    <w:rsid w:val="00C538C1"/>
    <w:rsid w:val="00C53FA3"/>
    <w:rsid w:val="00C5416E"/>
    <w:rsid w:val="00C54F6E"/>
    <w:rsid w:val="00C552F5"/>
    <w:rsid w:val="00C56565"/>
    <w:rsid w:val="00C565C5"/>
    <w:rsid w:val="00C57284"/>
    <w:rsid w:val="00C57A48"/>
    <w:rsid w:val="00C57B1A"/>
    <w:rsid w:val="00C57B9A"/>
    <w:rsid w:val="00C57E10"/>
    <w:rsid w:val="00C60151"/>
    <w:rsid w:val="00C605D5"/>
    <w:rsid w:val="00C60740"/>
    <w:rsid w:val="00C61302"/>
    <w:rsid w:val="00C61990"/>
    <w:rsid w:val="00C633AB"/>
    <w:rsid w:val="00C6384F"/>
    <w:rsid w:val="00C63F08"/>
    <w:rsid w:val="00C66005"/>
    <w:rsid w:val="00C67180"/>
    <w:rsid w:val="00C6782C"/>
    <w:rsid w:val="00C717DE"/>
    <w:rsid w:val="00C718AA"/>
    <w:rsid w:val="00C71A98"/>
    <w:rsid w:val="00C71EC4"/>
    <w:rsid w:val="00C736EA"/>
    <w:rsid w:val="00C73D46"/>
    <w:rsid w:val="00C74321"/>
    <w:rsid w:val="00C74E06"/>
    <w:rsid w:val="00C754DB"/>
    <w:rsid w:val="00C76024"/>
    <w:rsid w:val="00C7648A"/>
    <w:rsid w:val="00C7750E"/>
    <w:rsid w:val="00C779C7"/>
    <w:rsid w:val="00C77F84"/>
    <w:rsid w:val="00C804A9"/>
    <w:rsid w:val="00C80C92"/>
    <w:rsid w:val="00C80F57"/>
    <w:rsid w:val="00C81769"/>
    <w:rsid w:val="00C8290A"/>
    <w:rsid w:val="00C82A50"/>
    <w:rsid w:val="00C82F2D"/>
    <w:rsid w:val="00C8307D"/>
    <w:rsid w:val="00C837AB"/>
    <w:rsid w:val="00C84B04"/>
    <w:rsid w:val="00C85096"/>
    <w:rsid w:val="00C850C0"/>
    <w:rsid w:val="00C851CD"/>
    <w:rsid w:val="00C8634B"/>
    <w:rsid w:val="00C8693F"/>
    <w:rsid w:val="00C86B38"/>
    <w:rsid w:val="00C903AF"/>
    <w:rsid w:val="00C906D2"/>
    <w:rsid w:val="00C910F6"/>
    <w:rsid w:val="00C91260"/>
    <w:rsid w:val="00C91524"/>
    <w:rsid w:val="00C924D0"/>
    <w:rsid w:val="00C92D0E"/>
    <w:rsid w:val="00C9342D"/>
    <w:rsid w:val="00C934BF"/>
    <w:rsid w:val="00C93A3D"/>
    <w:rsid w:val="00C93ADF"/>
    <w:rsid w:val="00C93CAA"/>
    <w:rsid w:val="00C94070"/>
    <w:rsid w:val="00C958CC"/>
    <w:rsid w:val="00C959A8"/>
    <w:rsid w:val="00C97C60"/>
    <w:rsid w:val="00CA16CF"/>
    <w:rsid w:val="00CA1F0B"/>
    <w:rsid w:val="00CA2B0F"/>
    <w:rsid w:val="00CA30FA"/>
    <w:rsid w:val="00CA45A0"/>
    <w:rsid w:val="00CA51E8"/>
    <w:rsid w:val="00CA6376"/>
    <w:rsid w:val="00CA6433"/>
    <w:rsid w:val="00CA649C"/>
    <w:rsid w:val="00CA6607"/>
    <w:rsid w:val="00CA6EAD"/>
    <w:rsid w:val="00CA78C6"/>
    <w:rsid w:val="00CA7B65"/>
    <w:rsid w:val="00CA7C8A"/>
    <w:rsid w:val="00CB08E8"/>
    <w:rsid w:val="00CB1F12"/>
    <w:rsid w:val="00CB2281"/>
    <w:rsid w:val="00CB2585"/>
    <w:rsid w:val="00CB2608"/>
    <w:rsid w:val="00CB375B"/>
    <w:rsid w:val="00CB3981"/>
    <w:rsid w:val="00CB3C62"/>
    <w:rsid w:val="00CB454D"/>
    <w:rsid w:val="00CB496D"/>
    <w:rsid w:val="00CB4C26"/>
    <w:rsid w:val="00CB5B05"/>
    <w:rsid w:val="00CB61C0"/>
    <w:rsid w:val="00CB6284"/>
    <w:rsid w:val="00CB70F1"/>
    <w:rsid w:val="00CB7936"/>
    <w:rsid w:val="00CC0BA9"/>
    <w:rsid w:val="00CC0F0A"/>
    <w:rsid w:val="00CC1812"/>
    <w:rsid w:val="00CC1FB8"/>
    <w:rsid w:val="00CC1FF1"/>
    <w:rsid w:val="00CC21B4"/>
    <w:rsid w:val="00CC23DA"/>
    <w:rsid w:val="00CC2A63"/>
    <w:rsid w:val="00CC2C81"/>
    <w:rsid w:val="00CC34AE"/>
    <w:rsid w:val="00CC37CA"/>
    <w:rsid w:val="00CC3825"/>
    <w:rsid w:val="00CC40BC"/>
    <w:rsid w:val="00CC4722"/>
    <w:rsid w:val="00CC4B14"/>
    <w:rsid w:val="00CC4DFE"/>
    <w:rsid w:val="00CC50A2"/>
    <w:rsid w:val="00CC6E5F"/>
    <w:rsid w:val="00CC726A"/>
    <w:rsid w:val="00CC736D"/>
    <w:rsid w:val="00CD02B1"/>
    <w:rsid w:val="00CD0C85"/>
    <w:rsid w:val="00CD1391"/>
    <w:rsid w:val="00CD2590"/>
    <w:rsid w:val="00CD2B16"/>
    <w:rsid w:val="00CD316E"/>
    <w:rsid w:val="00CD33D8"/>
    <w:rsid w:val="00CD4B9B"/>
    <w:rsid w:val="00CD4EC2"/>
    <w:rsid w:val="00CD5830"/>
    <w:rsid w:val="00CD5856"/>
    <w:rsid w:val="00CD6C2C"/>
    <w:rsid w:val="00CD7B47"/>
    <w:rsid w:val="00CE06D8"/>
    <w:rsid w:val="00CE0AE7"/>
    <w:rsid w:val="00CE0E00"/>
    <w:rsid w:val="00CE1138"/>
    <w:rsid w:val="00CE166A"/>
    <w:rsid w:val="00CE182D"/>
    <w:rsid w:val="00CE2DCD"/>
    <w:rsid w:val="00CE3B2C"/>
    <w:rsid w:val="00CE3E04"/>
    <w:rsid w:val="00CE3F59"/>
    <w:rsid w:val="00CE431E"/>
    <w:rsid w:val="00CE4403"/>
    <w:rsid w:val="00CE54E9"/>
    <w:rsid w:val="00CE5BC7"/>
    <w:rsid w:val="00CE5F70"/>
    <w:rsid w:val="00CE68A4"/>
    <w:rsid w:val="00CE6DF0"/>
    <w:rsid w:val="00CE7665"/>
    <w:rsid w:val="00CE7AFB"/>
    <w:rsid w:val="00CF0305"/>
    <w:rsid w:val="00CF1811"/>
    <w:rsid w:val="00CF207B"/>
    <w:rsid w:val="00CF265B"/>
    <w:rsid w:val="00CF3965"/>
    <w:rsid w:val="00CF4F65"/>
    <w:rsid w:val="00CF563C"/>
    <w:rsid w:val="00CF7551"/>
    <w:rsid w:val="00D0268E"/>
    <w:rsid w:val="00D03590"/>
    <w:rsid w:val="00D03A28"/>
    <w:rsid w:val="00D03E3B"/>
    <w:rsid w:val="00D041F1"/>
    <w:rsid w:val="00D04A03"/>
    <w:rsid w:val="00D0529E"/>
    <w:rsid w:val="00D059A1"/>
    <w:rsid w:val="00D06253"/>
    <w:rsid w:val="00D06CC5"/>
    <w:rsid w:val="00D07567"/>
    <w:rsid w:val="00D1090D"/>
    <w:rsid w:val="00D10F44"/>
    <w:rsid w:val="00D1125D"/>
    <w:rsid w:val="00D142CE"/>
    <w:rsid w:val="00D14441"/>
    <w:rsid w:val="00D150D7"/>
    <w:rsid w:val="00D15CDB"/>
    <w:rsid w:val="00D170A9"/>
    <w:rsid w:val="00D170BB"/>
    <w:rsid w:val="00D17742"/>
    <w:rsid w:val="00D17A12"/>
    <w:rsid w:val="00D207F7"/>
    <w:rsid w:val="00D20834"/>
    <w:rsid w:val="00D208EC"/>
    <w:rsid w:val="00D20E78"/>
    <w:rsid w:val="00D20EE1"/>
    <w:rsid w:val="00D2109B"/>
    <w:rsid w:val="00D2284C"/>
    <w:rsid w:val="00D22CA8"/>
    <w:rsid w:val="00D23559"/>
    <w:rsid w:val="00D24E85"/>
    <w:rsid w:val="00D24EB6"/>
    <w:rsid w:val="00D25814"/>
    <w:rsid w:val="00D271DD"/>
    <w:rsid w:val="00D27A89"/>
    <w:rsid w:val="00D27E13"/>
    <w:rsid w:val="00D30280"/>
    <w:rsid w:val="00D30294"/>
    <w:rsid w:val="00D30FE1"/>
    <w:rsid w:val="00D3134F"/>
    <w:rsid w:val="00D31F84"/>
    <w:rsid w:val="00D32C70"/>
    <w:rsid w:val="00D32D54"/>
    <w:rsid w:val="00D34F9C"/>
    <w:rsid w:val="00D358DC"/>
    <w:rsid w:val="00D35D07"/>
    <w:rsid w:val="00D3644F"/>
    <w:rsid w:val="00D366C4"/>
    <w:rsid w:val="00D36C1D"/>
    <w:rsid w:val="00D36EBA"/>
    <w:rsid w:val="00D379F5"/>
    <w:rsid w:val="00D37D2B"/>
    <w:rsid w:val="00D408A6"/>
    <w:rsid w:val="00D40C2F"/>
    <w:rsid w:val="00D41533"/>
    <w:rsid w:val="00D41D7A"/>
    <w:rsid w:val="00D41F42"/>
    <w:rsid w:val="00D43BD3"/>
    <w:rsid w:val="00D43EF5"/>
    <w:rsid w:val="00D448AD"/>
    <w:rsid w:val="00D44ADF"/>
    <w:rsid w:val="00D44B41"/>
    <w:rsid w:val="00D44EF7"/>
    <w:rsid w:val="00D44F67"/>
    <w:rsid w:val="00D45217"/>
    <w:rsid w:val="00D454F0"/>
    <w:rsid w:val="00D462EA"/>
    <w:rsid w:val="00D47F68"/>
    <w:rsid w:val="00D500FD"/>
    <w:rsid w:val="00D512A2"/>
    <w:rsid w:val="00D51BD1"/>
    <w:rsid w:val="00D5223E"/>
    <w:rsid w:val="00D52245"/>
    <w:rsid w:val="00D524E4"/>
    <w:rsid w:val="00D526CD"/>
    <w:rsid w:val="00D537C9"/>
    <w:rsid w:val="00D53C80"/>
    <w:rsid w:val="00D541F3"/>
    <w:rsid w:val="00D56B42"/>
    <w:rsid w:val="00D575AC"/>
    <w:rsid w:val="00D576CF"/>
    <w:rsid w:val="00D57BF2"/>
    <w:rsid w:val="00D602E0"/>
    <w:rsid w:val="00D60418"/>
    <w:rsid w:val="00D606D3"/>
    <w:rsid w:val="00D61B5B"/>
    <w:rsid w:val="00D62F7F"/>
    <w:rsid w:val="00D635BE"/>
    <w:rsid w:val="00D63885"/>
    <w:rsid w:val="00D63F81"/>
    <w:rsid w:val="00D64BAC"/>
    <w:rsid w:val="00D652E6"/>
    <w:rsid w:val="00D65367"/>
    <w:rsid w:val="00D65587"/>
    <w:rsid w:val="00D671A3"/>
    <w:rsid w:val="00D67443"/>
    <w:rsid w:val="00D679E3"/>
    <w:rsid w:val="00D67DBF"/>
    <w:rsid w:val="00D71C59"/>
    <w:rsid w:val="00D71E36"/>
    <w:rsid w:val="00D72190"/>
    <w:rsid w:val="00D7289F"/>
    <w:rsid w:val="00D72B95"/>
    <w:rsid w:val="00D72EE5"/>
    <w:rsid w:val="00D73463"/>
    <w:rsid w:val="00D73466"/>
    <w:rsid w:val="00D736DD"/>
    <w:rsid w:val="00D73D99"/>
    <w:rsid w:val="00D7414C"/>
    <w:rsid w:val="00D7513A"/>
    <w:rsid w:val="00D76D90"/>
    <w:rsid w:val="00D77090"/>
    <w:rsid w:val="00D7725F"/>
    <w:rsid w:val="00D772EC"/>
    <w:rsid w:val="00D774F7"/>
    <w:rsid w:val="00D77B29"/>
    <w:rsid w:val="00D802E8"/>
    <w:rsid w:val="00D81352"/>
    <w:rsid w:val="00D81D54"/>
    <w:rsid w:val="00D82017"/>
    <w:rsid w:val="00D82097"/>
    <w:rsid w:val="00D82E6D"/>
    <w:rsid w:val="00D82FD5"/>
    <w:rsid w:val="00D844ED"/>
    <w:rsid w:val="00D8536D"/>
    <w:rsid w:val="00D855F1"/>
    <w:rsid w:val="00D858FF"/>
    <w:rsid w:val="00D86F39"/>
    <w:rsid w:val="00D906F4"/>
    <w:rsid w:val="00D907AF"/>
    <w:rsid w:val="00D91397"/>
    <w:rsid w:val="00D914CA"/>
    <w:rsid w:val="00D91604"/>
    <w:rsid w:val="00D9217A"/>
    <w:rsid w:val="00D930A1"/>
    <w:rsid w:val="00D9321C"/>
    <w:rsid w:val="00D93BF7"/>
    <w:rsid w:val="00D93D50"/>
    <w:rsid w:val="00D94B09"/>
    <w:rsid w:val="00D94CA4"/>
    <w:rsid w:val="00D95F03"/>
    <w:rsid w:val="00D95F61"/>
    <w:rsid w:val="00D97377"/>
    <w:rsid w:val="00D97611"/>
    <w:rsid w:val="00D977DE"/>
    <w:rsid w:val="00D97B7E"/>
    <w:rsid w:val="00DA2CC5"/>
    <w:rsid w:val="00DA39D2"/>
    <w:rsid w:val="00DA3CF0"/>
    <w:rsid w:val="00DA3D8B"/>
    <w:rsid w:val="00DA5555"/>
    <w:rsid w:val="00DA670E"/>
    <w:rsid w:val="00DA7497"/>
    <w:rsid w:val="00DA7BCB"/>
    <w:rsid w:val="00DB11F0"/>
    <w:rsid w:val="00DB1AE1"/>
    <w:rsid w:val="00DB2FCD"/>
    <w:rsid w:val="00DB3BA3"/>
    <w:rsid w:val="00DB40DB"/>
    <w:rsid w:val="00DB4A9D"/>
    <w:rsid w:val="00DB51C5"/>
    <w:rsid w:val="00DB53B4"/>
    <w:rsid w:val="00DB55C1"/>
    <w:rsid w:val="00DB58D3"/>
    <w:rsid w:val="00DB6E32"/>
    <w:rsid w:val="00DB7681"/>
    <w:rsid w:val="00DB78C2"/>
    <w:rsid w:val="00DB7D2D"/>
    <w:rsid w:val="00DB7D67"/>
    <w:rsid w:val="00DC0986"/>
    <w:rsid w:val="00DC0C03"/>
    <w:rsid w:val="00DC0CCC"/>
    <w:rsid w:val="00DC12C1"/>
    <w:rsid w:val="00DC13A0"/>
    <w:rsid w:val="00DC1B31"/>
    <w:rsid w:val="00DC1D53"/>
    <w:rsid w:val="00DC294F"/>
    <w:rsid w:val="00DC2DC3"/>
    <w:rsid w:val="00DC354C"/>
    <w:rsid w:val="00DC37F3"/>
    <w:rsid w:val="00DC54C4"/>
    <w:rsid w:val="00DC577F"/>
    <w:rsid w:val="00DC582A"/>
    <w:rsid w:val="00DC60F5"/>
    <w:rsid w:val="00DC6565"/>
    <w:rsid w:val="00DC6566"/>
    <w:rsid w:val="00DC7ED5"/>
    <w:rsid w:val="00DD0D63"/>
    <w:rsid w:val="00DD1E53"/>
    <w:rsid w:val="00DD35DE"/>
    <w:rsid w:val="00DD3618"/>
    <w:rsid w:val="00DD3A04"/>
    <w:rsid w:val="00DD4970"/>
    <w:rsid w:val="00DD4C6A"/>
    <w:rsid w:val="00DD5977"/>
    <w:rsid w:val="00DD688C"/>
    <w:rsid w:val="00DD6C1D"/>
    <w:rsid w:val="00DD6FE1"/>
    <w:rsid w:val="00DD711F"/>
    <w:rsid w:val="00DD754F"/>
    <w:rsid w:val="00DD76C3"/>
    <w:rsid w:val="00DD7A03"/>
    <w:rsid w:val="00DD7A99"/>
    <w:rsid w:val="00DD7E65"/>
    <w:rsid w:val="00DD7F7B"/>
    <w:rsid w:val="00DE08CD"/>
    <w:rsid w:val="00DE1840"/>
    <w:rsid w:val="00DE1AE6"/>
    <w:rsid w:val="00DE212D"/>
    <w:rsid w:val="00DE2C1A"/>
    <w:rsid w:val="00DE4219"/>
    <w:rsid w:val="00DE72F2"/>
    <w:rsid w:val="00DE7535"/>
    <w:rsid w:val="00DE798F"/>
    <w:rsid w:val="00DE7FA6"/>
    <w:rsid w:val="00DF1E77"/>
    <w:rsid w:val="00DF245D"/>
    <w:rsid w:val="00DF30A4"/>
    <w:rsid w:val="00DF3775"/>
    <w:rsid w:val="00DF4093"/>
    <w:rsid w:val="00DF468D"/>
    <w:rsid w:val="00DF488A"/>
    <w:rsid w:val="00DF5D21"/>
    <w:rsid w:val="00DF6CB8"/>
    <w:rsid w:val="00DF7A76"/>
    <w:rsid w:val="00E01501"/>
    <w:rsid w:val="00E01B3E"/>
    <w:rsid w:val="00E02362"/>
    <w:rsid w:val="00E034AD"/>
    <w:rsid w:val="00E03C86"/>
    <w:rsid w:val="00E03D54"/>
    <w:rsid w:val="00E03EC5"/>
    <w:rsid w:val="00E04C8E"/>
    <w:rsid w:val="00E06390"/>
    <w:rsid w:val="00E06463"/>
    <w:rsid w:val="00E06E05"/>
    <w:rsid w:val="00E07629"/>
    <w:rsid w:val="00E113D7"/>
    <w:rsid w:val="00E1189F"/>
    <w:rsid w:val="00E11E9A"/>
    <w:rsid w:val="00E122B3"/>
    <w:rsid w:val="00E125F6"/>
    <w:rsid w:val="00E12C28"/>
    <w:rsid w:val="00E13073"/>
    <w:rsid w:val="00E1336A"/>
    <w:rsid w:val="00E137D2"/>
    <w:rsid w:val="00E13B14"/>
    <w:rsid w:val="00E1417F"/>
    <w:rsid w:val="00E14793"/>
    <w:rsid w:val="00E15005"/>
    <w:rsid w:val="00E15508"/>
    <w:rsid w:val="00E155DC"/>
    <w:rsid w:val="00E17C35"/>
    <w:rsid w:val="00E17EA3"/>
    <w:rsid w:val="00E17F0E"/>
    <w:rsid w:val="00E17F59"/>
    <w:rsid w:val="00E2036B"/>
    <w:rsid w:val="00E20E69"/>
    <w:rsid w:val="00E210EA"/>
    <w:rsid w:val="00E2128A"/>
    <w:rsid w:val="00E216EF"/>
    <w:rsid w:val="00E21808"/>
    <w:rsid w:val="00E21830"/>
    <w:rsid w:val="00E21BF6"/>
    <w:rsid w:val="00E22327"/>
    <w:rsid w:val="00E235BC"/>
    <w:rsid w:val="00E24FA3"/>
    <w:rsid w:val="00E260BB"/>
    <w:rsid w:val="00E2626A"/>
    <w:rsid w:val="00E2639A"/>
    <w:rsid w:val="00E26699"/>
    <w:rsid w:val="00E268A9"/>
    <w:rsid w:val="00E26924"/>
    <w:rsid w:val="00E269AA"/>
    <w:rsid w:val="00E26C38"/>
    <w:rsid w:val="00E2710B"/>
    <w:rsid w:val="00E27EF3"/>
    <w:rsid w:val="00E308B6"/>
    <w:rsid w:val="00E30CFE"/>
    <w:rsid w:val="00E31B1F"/>
    <w:rsid w:val="00E322C9"/>
    <w:rsid w:val="00E32A8E"/>
    <w:rsid w:val="00E33277"/>
    <w:rsid w:val="00E3350C"/>
    <w:rsid w:val="00E33868"/>
    <w:rsid w:val="00E33F5A"/>
    <w:rsid w:val="00E346F8"/>
    <w:rsid w:val="00E34A30"/>
    <w:rsid w:val="00E353B4"/>
    <w:rsid w:val="00E35563"/>
    <w:rsid w:val="00E36003"/>
    <w:rsid w:val="00E36D2E"/>
    <w:rsid w:val="00E37845"/>
    <w:rsid w:val="00E37CEB"/>
    <w:rsid w:val="00E412E3"/>
    <w:rsid w:val="00E41D88"/>
    <w:rsid w:val="00E42D80"/>
    <w:rsid w:val="00E44DAA"/>
    <w:rsid w:val="00E455DB"/>
    <w:rsid w:val="00E457E0"/>
    <w:rsid w:val="00E4586C"/>
    <w:rsid w:val="00E45C40"/>
    <w:rsid w:val="00E45F51"/>
    <w:rsid w:val="00E4619C"/>
    <w:rsid w:val="00E472F3"/>
    <w:rsid w:val="00E504E8"/>
    <w:rsid w:val="00E51058"/>
    <w:rsid w:val="00E513C8"/>
    <w:rsid w:val="00E513D9"/>
    <w:rsid w:val="00E5158A"/>
    <w:rsid w:val="00E51D65"/>
    <w:rsid w:val="00E525A6"/>
    <w:rsid w:val="00E52FD7"/>
    <w:rsid w:val="00E5321D"/>
    <w:rsid w:val="00E536BC"/>
    <w:rsid w:val="00E536E0"/>
    <w:rsid w:val="00E53CB0"/>
    <w:rsid w:val="00E53EB9"/>
    <w:rsid w:val="00E54694"/>
    <w:rsid w:val="00E555FC"/>
    <w:rsid w:val="00E55ACB"/>
    <w:rsid w:val="00E55C0A"/>
    <w:rsid w:val="00E561C0"/>
    <w:rsid w:val="00E56216"/>
    <w:rsid w:val="00E5637E"/>
    <w:rsid w:val="00E56C41"/>
    <w:rsid w:val="00E573B1"/>
    <w:rsid w:val="00E60595"/>
    <w:rsid w:val="00E60FF2"/>
    <w:rsid w:val="00E6103E"/>
    <w:rsid w:val="00E62BFA"/>
    <w:rsid w:val="00E62D4C"/>
    <w:rsid w:val="00E63A82"/>
    <w:rsid w:val="00E64B8F"/>
    <w:rsid w:val="00E64CC1"/>
    <w:rsid w:val="00E65B84"/>
    <w:rsid w:val="00E65BDF"/>
    <w:rsid w:val="00E65C68"/>
    <w:rsid w:val="00E66330"/>
    <w:rsid w:val="00E663E3"/>
    <w:rsid w:val="00E66527"/>
    <w:rsid w:val="00E66651"/>
    <w:rsid w:val="00E6670B"/>
    <w:rsid w:val="00E67A8D"/>
    <w:rsid w:val="00E67F13"/>
    <w:rsid w:val="00E70098"/>
    <w:rsid w:val="00E703DE"/>
    <w:rsid w:val="00E70C8F"/>
    <w:rsid w:val="00E70E26"/>
    <w:rsid w:val="00E70F2D"/>
    <w:rsid w:val="00E7138E"/>
    <w:rsid w:val="00E725EE"/>
    <w:rsid w:val="00E72D45"/>
    <w:rsid w:val="00E7310E"/>
    <w:rsid w:val="00E73885"/>
    <w:rsid w:val="00E73EB9"/>
    <w:rsid w:val="00E73F4C"/>
    <w:rsid w:val="00E741B8"/>
    <w:rsid w:val="00E75D53"/>
    <w:rsid w:val="00E76009"/>
    <w:rsid w:val="00E766DF"/>
    <w:rsid w:val="00E770F7"/>
    <w:rsid w:val="00E77595"/>
    <w:rsid w:val="00E7767D"/>
    <w:rsid w:val="00E77E92"/>
    <w:rsid w:val="00E80751"/>
    <w:rsid w:val="00E813F8"/>
    <w:rsid w:val="00E820F4"/>
    <w:rsid w:val="00E822EB"/>
    <w:rsid w:val="00E82399"/>
    <w:rsid w:val="00E839D9"/>
    <w:rsid w:val="00E83ACD"/>
    <w:rsid w:val="00E85056"/>
    <w:rsid w:val="00E8529D"/>
    <w:rsid w:val="00E8580C"/>
    <w:rsid w:val="00E85DAC"/>
    <w:rsid w:val="00E863AD"/>
    <w:rsid w:val="00E86DFE"/>
    <w:rsid w:val="00E86EFB"/>
    <w:rsid w:val="00E90490"/>
    <w:rsid w:val="00E911EC"/>
    <w:rsid w:val="00E916C1"/>
    <w:rsid w:val="00E93DF3"/>
    <w:rsid w:val="00E9420D"/>
    <w:rsid w:val="00E95195"/>
    <w:rsid w:val="00E963A0"/>
    <w:rsid w:val="00E96505"/>
    <w:rsid w:val="00E9779A"/>
    <w:rsid w:val="00EA0954"/>
    <w:rsid w:val="00EA10C6"/>
    <w:rsid w:val="00EA15B8"/>
    <w:rsid w:val="00EA1F04"/>
    <w:rsid w:val="00EA28F7"/>
    <w:rsid w:val="00EA2F4A"/>
    <w:rsid w:val="00EA346E"/>
    <w:rsid w:val="00EA37B7"/>
    <w:rsid w:val="00EA6685"/>
    <w:rsid w:val="00EA6D04"/>
    <w:rsid w:val="00EA717A"/>
    <w:rsid w:val="00EA74BA"/>
    <w:rsid w:val="00EA7E1A"/>
    <w:rsid w:val="00EB02BE"/>
    <w:rsid w:val="00EB0549"/>
    <w:rsid w:val="00EB081A"/>
    <w:rsid w:val="00EB0B6B"/>
    <w:rsid w:val="00EB0D93"/>
    <w:rsid w:val="00EB0DAE"/>
    <w:rsid w:val="00EB10D8"/>
    <w:rsid w:val="00EB1283"/>
    <w:rsid w:val="00EB1368"/>
    <w:rsid w:val="00EB1C2A"/>
    <w:rsid w:val="00EB2071"/>
    <w:rsid w:val="00EB2E5E"/>
    <w:rsid w:val="00EB3E56"/>
    <w:rsid w:val="00EB49DE"/>
    <w:rsid w:val="00EB4E46"/>
    <w:rsid w:val="00EB6547"/>
    <w:rsid w:val="00EB7811"/>
    <w:rsid w:val="00EC00F0"/>
    <w:rsid w:val="00EC0C60"/>
    <w:rsid w:val="00EC22B7"/>
    <w:rsid w:val="00EC3876"/>
    <w:rsid w:val="00EC398D"/>
    <w:rsid w:val="00EC3E27"/>
    <w:rsid w:val="00EC3E33"/>
    <w:rsid w:val="00EC41A8"/>
    <w:rsid w:val="00EC4426"/>
    <w:rsid w:val="00EC4836"/>
    <w:rsid w:val="00EC5463"/>
    <w:rsid w:val="00EC5A56"/>
    <w:rsid w:val="00EC62B4"/>
    <w:rsid w:val="00EC6678"/>
    <w:rsid w:val="00EC6C9B"/>
    <w:rsid w:val="00EC6E22"/>
    <w:rsid w:val="00EC71A6"/>
    <w:rsid w:val="00ED0221"/>
    <w:rsid w:val="00ED0249"/>
    <w:rsid w:val="00ED105F"/>
    <w:rsid w:val="00ED1CB6"/>
    <w:rsid w:val="00ED1E05"/>
    <w:rsid w:val="00ED25CB"/>
    <w:rsid w:val="00ED2729"/>
    <w:rsid w:val="00ED278A"/>
    <w:rsid w:val="00ED4CE3"/>
    <w:rsid w:val="00ED4EE3"/>
    <w:rsid w:val="00ED612D"/>
    <w:rsid w:val="00ED710F"/>
    <w:rsid w:val="00EE02F4"/>
    <w:rsid w:val="00EE0530"/>
    <w:rsid w:val="00EE2C26"/>
    <w:rsid w:val="00EE2C68"/>
    <w:rsid w:val="00EE2D3E"/>
    <w:rsid w:val="00EE2E5D"/>
    <w:rsid w:val="00EE2EB2"/>
    <w:rsid w:val="00EE3039"/>
    <w:rsid w:val="00EE3899"/>
    <w:rsid w:val="00EE4C78"/>
    <w:rsid w:val="00EE6C69"/>
    <w:rsid w:val="00EE6EA7"/>
    <w:rsid w:val="00EE7249"/>
    <w:rsid w:val="00EE738A"/>
    <w:rsid w:val="00EE77F0"/>
    <w:rsid w:val="00EE7B7E"/>
    <w:rsid w:val="00EE7CBD"/>
    <w:rsid w:val="00EE7F6D"/>
    <w:rsid w:val="00EF0359"/>
    <w:rsid w:val="00EF0A31"/>
    <w:rsid w:val="00EF0CEE"/>
    <w:rsid w:val="00EF0E0E"/>
    <w:rsid w:val="00EF1635"/>
    <w:rsid w:val="00EF1CBF"/>
    <w:rsid w:val="00EF3167"/>
    <w:rsid w:val="00EF346A"/>
    <w:rsid w:val="00EF3F2C"/>
    <w:rsid w:val="00EF44E0"/>
    <w:rsid w:val="00EF45A3"/>
    <w:rsid w:val="00EF4766"/>
    <w:rsid w:val="00EF4B33"/>
    <w:rsid w:val="00EF74BD"/>
    <w:rsid w:val="00EF796E"/>
    <w:rsid w:val="00F038C2"/>
    <w:rsid w:val="00F04CEB"/>
    <w:rsid w:val="00F05862"/>
    <w:rsid w:val="00F05993"/>
    <w:rsid w:val="00F05F94"/>
    <w:rsid w:val="00F06449"/>
    <w:rsid w:val="00F068FB"/>
    <w:rsid w:val="00F06C7F"/>
    <w:rsid w:val="00F07B9C"/>
    <w:rsid w:val="00F07C21"/>
    <w:rsid w:val="00F07E40"/>
    <w:rsid w:val="00F100B6"/>
    <w:rsid w:val="00F1063F"/>
    <w:rsid w:val="00F10892"/>
    <w:rsid w:val="00F10E7D"/>
    <w:rsid w:val="00F119D3"/>
    <w:rsid w:val="00F11C7E"/>
    <w:rsid w:val="00F11DAA"/>
    <w:rsid w:val="00F1201F"/>
    <w:rsid w:val="00F14014"/>
    <w:rsid w:val="00F140F5"/>
    <w:rsid w:val="00F143C8"/>
    <w:rsid w:val="00F14745"/>
    <w:rsid w:val="00F14C82"/>
    <w:rsid w:val="00F15827"/>
    <w:rsid w:val="00F1689A"/>
    <w:rsid w:val="00F175C3"/>
    <w:rsid w:val="00F2297E"/>
    <w:rsid w:val="00F22E8E"/>
    <w:rsid w:val="00F23147"/>
    <w:rsid w:val="00F23D0D"/>
    <w:rsid w:val="00F23F80"/>
    <w:rsid w:val="00F245FB"/>
    <w:rsid w:val="00F247D2"/>
    <w:rsid w:val="00F25013"/>
    <w:rsid w:val="00F2518D"/>
    <w:rsid w:val="00F25294"/>
    <w:rsid w:val="00F25F67"/>
    <w:rsid w:val="00F26009"/>
    <w:rsid w:val="00F26251"/>
    <w:rsid w:val="00F26564"/>
    <w:rsid w:val="00F27454"/>
    <w:rsid w:val="00F309D7"/>
    <w:rsid w:val="00F30A96"/>
    <w:rsid w:val="00F3137C"/>
    <w:rsid w:val="00F32127"/>
    <w:rsid w:val="00F32221"/>
    <w:rsid w:val="00F32B71"/>
    <w:rsid w:val="00F33114"/>
    <w:rsid w:val="00F33493"/>
    <w:rsid w:val="00F337D4"/>
    <w:rsid w:val="00F33BD3"/>
    <w:rsid w:val="00F33EC9"/>
    <w:rsid w:val="00F34084"/>
    <w:rsid w:val="00F353FB"/>
    <w:rsid w:val="00F35412"/>
    <w:rsid w:val="00F35B08"/>
    <w:rsid w:val="00F35E66"/>
    <w:rsid w:val="00F36CE5"/>
    <w:rsid w:val="00F37127"/>
    <w:rsid w:val="00F40728"/>
    <w:rsid w:val="00F40CA2"/>
    <w:rsid w:val="00F42393"/>
    <w:rsid w:val="00F43486"/>
    <w:rsid w:val="00F43C3D"/>
    <w:rsid w:val="00F4404B"/>
    <w:rsid w:val="00F44058"/>
    <w:rsid w:val="00F44449"/>
    <w:rsid w:val="00F44590"/>
    <w:rsid w:val="00F446A9"/>
    <w:rsid w:val="00F44BC3"/>
    <w:rsid w:val="00F4518E"/>
    <w:rsid w:val="00F454DB"/>
    <w:rsid w:val="00F46C0E"/>
    <w:rsid w:val="00F51212"/>
    <w:rsid w:val="00F52351"/>
    <w:rsid w:val="00F52412"/>
    <w:rsid w:val="00F53FE5"/>
    <w:rsid w:val="00F54B52"/>
    <w:rsid w:val="00F54B62"/>
    <w:rsid w:val="00F550A7"/>
    <w:rsid w:val="00F55E42"/>
    <w:rsid w:val="00F579FE"/>
    <w:rsid w:val="00F61D33"/>
    <w:rsid w:val="00F61D65"/>
    <w:rsid w:val="00F62039"/>
    <w:rsid w:val="00F632EF"/>
    <w:rsid w:val="00F6360B"/>
    <w:rsid w:val="00F6379E"/>
    <w:rsid w:val="00F6399E"/>
    <w:rsid w:val="00F64916"/>
    <w:rsid w:val="00F6522B"/>
    <w:rsid w:val="00F668C9"/>
    <w:rsid w:val="00F66A6A"/>
    <w:rsid w:val="00F703A7"/>
    <w:rsid w:val="00F7046C"/>
    <w:rsid w:val="00F709F3"/>
    <w:rsid w:val="00F712B2"/>
    <w:rsid w:val="00F71C35"/>
    <w:rsid w:val="00F73221"/>
    <w:rsid w:val="00F73F16"/>
    <w:rsid w:val="00F74526"/>
    <w:rsid w:val="00F74BB2"/>
    <w:rsid w:val="00F74CE3"/>
    <w:rsid w:val="00F74CF3"/>
    <w:rsid w:val="00F74F42"/>
    <w:rsid w:val="00F753F9"/>
    <w:rsid w:val="00F75B53"/>
    <w:rsid w:val="00F75B6A"/>
    <w:rsid w:val="00F75E45"/>
    <w:rsid w:val="00F76E07"/>
    <w:rsid w:val="00F77C5F"/>
    <w:rsid w:val="00F80BF5"/>
    <w:rsid w:val="00F81402"/>
    <w:rsid w:val="00F8197C"/>
    <w:rsid w:val="00F81E29"/>
    <w:rsid w:val="00F82826"/>
    <w:rsid w:val="00F841B9"/>
    <w:rsid w:val="00F84299"/>
    <w:rsid w:val="00F843BA"/>
    <w:rsid w:val="00F84B49"/>
    <w:rsid w:val="00F85BF0"/>
    <w:rsid w:val="00F86AE6"/>
    <w:rsid w:val="00F870C8"/>
    <w:rsid w:val="00F8745E"/>
    <w:rsid w:val="00F906FD"/>
    <w:rsid w:val="00F90D0E"/>
    <w:rsid w:val="00F91437"/>
    <w:rsid w:val="00F9147D"/>
    <w:rsid w:val="00F915FE"/>
    <w:rsid w:val="00F92107"/>
    <w:rsid w:val="00F93A79"/>
    <w:rsid w:val="00F93C6C"/>
    <w:rsid w:val="00F94E65"/>
    <w:rsid w:val="00F9535B"/>
    <w:rsid w:val="00F95F7B"/>
    <w:rsid w:val="00FA01E1"/>
    <w:rsid w:val="00FA0959"/>
    <w:rsid w:val="00FA17B8"/>
    <w:rsid w:val="00FA1AC6"/>
    <w:rsid w:val="00FA2BDF"/>
    <w:rsid w:val="00FA3582"/>
    <w:rsid w:val="00FA3FB7"/>
    <w:rsid w:val="00FA4311"/>
    <w:rsid w:val="00FA4849"/>
    <w:rsid w:val="00FA5542"/>
    <w:rsid w:val="00FA5722"/>
    <w:rsid w:val="00FA5B02"/>
    <w:rsid w:val="00FA6CFD"/>
    <w:rsid w:val="00FA7427"/>
    <w:rsid w:val="00FA7C61"/>
    <w:rsid w:val="00FA7C8C"/>
    <w:rsid w:val="00FA7C9A"/>
    <w:rsid w:val="00FA7EF5"/>
    <w:rsid w:val="00FB021B"/>
    <w:rsid w:val="00FB12D0"/>
    <w:rsid w:val="00FB15E9"/>
    <w:rsid w:val="00FB1D14"/>
    <w:rsid w:val="00FB5122"/>
    <w:rsid w:val="00FB5404"/>
    <w:rsid w:val="00FB5C1F"/>
    <w:rsid w:val="00FB63F6"/>
    <w:rsid w:val="00FB6D67"/>
    <w:rsid w:val="00FB7444"/>
    <w:rsid w:val="00FC08F6"/>
    <w:rsid w:val="00FC1A04"/>
    <w:rsid w:val="00FC1EE2"/>
    <w:rsid w:val="00FC4232"/>
    <w:rsid w:val="00FC43B7"/>
    <w:rsid w:val="00FC493F"/>
    <w:rsid w:val="00FC6E6E"/>
    <w:rsid w:val="00FC73CF"/>
    <w:rsid w:val="00FC75E8"/>
    <w:rsid w:val="00FC7D84"/>
    <w:rsid w:val="00FC7F0D"/>
    <w:rsid w:val="00FD02BF"/>
    <w:rsid w:val="00FD116B"/>
    <w:rsid w:val="00FD1513"/>
    <w:rsid w:val="00FD23EC"/>
    <w:rsid w:val="00FD289A"/>
    <w:rsid w:val="00FD2FA1"/>
    <w:rsid w:val="00FD38E9"/>
    <w:rsid w:val="00FD44E6"/>
    <w:rsid w:val="00FD47DE"/>
    <w:rsid w:val="00FD4DC3"/>
    <w:rsid w:val="00FD5962"/>
    <w:rsid w:val="00FD5F08"/>
    <w:rsid w:val="00FD6AB2"/>
    <w:rsid w:val="00FD73A9"/>
    <w:rsid w:val="00FD74A0"/>
    <w:rsid w:val="00FD797A"/>
    <w:rsid w:val="00FD7FC6"/>
    <w:rsid w:val="00FD7FCE"/>
    <w:rsid w:val="00FE02AB"/>
    <w:rsid w:val="00FE1310"/>
    <w:rsid w:val="00FE1DCA"/>
    <w:rsid w:val="00FE268A"/>
    <w:rsid w:val="00FE3CCB"/>
    <w:rsid w:val="00FE4032"/>
    <w:rsid w:val="00FE4321"/>
    <w:rsid w:val="00FE4611"/>
    <w:rsid w:val="00FE5EDF"/>
    <w:rsid w:val="00FE6773"/>
    <w:rsid w:val="00FE692A"/>
    <w:rsid w:val="00FF1328"/>
    <w:rsid w:val="00FF13E6"/>
    <w:rsid w:val="00FF1A82"/>
    <w:rsid w:val="00FF1AF7"/>
    <w:rsid w:val="00FF3130"/>
    <w:rsid w:val="00FF35AA"/>
    <w:rsid w:val="00FF35FB"/>
    <w:rsid w:val="00FF428D"/>
    <w:rsid w:val="00FF4979"/>
    <w:rsid w:val="00FF512B"/>
    <w:rsid w:val="00FF52AC"/>
    <w:rsid w:val="00FF57D3"/>
    <w:rsid w:val="00FF5860"/>
    <w:rsid w:val="00FF5C77"/>
    <w:rsid w:val="00FF62BF"/>
    <w:rsid w:val="00FF70BC"/>
    <w:rsid w:val="00FF7250"/>
    <w:rsid w:val="00FF7514"/>
    <w:rsid w:val="00FF79D5"/>
    <w:rsid w:val="00FF79E6"/>
    <w:rsid w:val="00FF79FC"/>
    <w:rsid w:val="00FF7B4F"/>
    <w:rsid w:val="00FF7BDC"/>
    <w:rsid w:val="00FF7FAE"/>
    <w:rsid w:val="08FF7744"/>
    <w:rsid w:val="34FA923E"/>
    <w:rsid w:val="7B25B38D"/>
  </w:rsids>
  <m:mathPr>
    <m:mathFont m:val="Cambria Math"/>
    <m:brkBin m:val="before"/>
    <m:brkBinSub m:val="--"/>
    <m:smallFrac m:val="0"/>
    <m:dispDef/>
    <m:lMargin m:val="0"/>
    <m:rMargin m:val="0"/>
    <m:defJc m:val="centerGroup"/>
    <m:wrapIndent m:val="1440"/>
    <m:intLim m:val="subSup"/>
    <m:naryLim m:val="undOvr"/>
  </m:mathPr>
  <w:themeFontLang w:val="en-NZ"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style="mso-position-horizontal:center;mso-position-horizontal-relative:margin;mso-position-vertical:center;mso-position-vertical-relative:margin" o:allowincell="f" fillcolor="silver" stroke="f">
      <v:fill color="silver" opacity=".5"/>
      <v:stroke on="f"/>
    </o:shapedefaults>
    <o:shapelayout v:ext="edit">
      <o:idmap v:ext="edit" data="2"/>
    </o:shapelayout>
  </w:shapeDefaults>
  <w:decimalSymbol w:val="."/>
  <w:listSeparator w:val=","/>
  <w14:docId w14:val="0B7335A3"/>
  <w15:docId w15:val="{25F5EE54-9846-4D56-83C4-8A99486763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uiPriority="2"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10" w:unhideWhenUsed="1"/>
    <w:lsdException w:name="annotation text" w:semiHidden="1" w:unhideWhenUsed="1"/>
    <w:lsdException w:name="header" w:semiHidden="1" w:uiPriority="0" w:unhideWhenUsed="1"/>
    <w:lsdException w:name="footer" w:semiHidden="1" w:uiPriority="10" w:unhideWhenUsed="1"/>
    <w:lsdException w:name="index heading" w:semiHidden="1" w:unhideWhenUsed="1"/>
    <w:lsdException w:name="caption" w:semiHidden="1" w:uiPriority="7"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uiPriority="19"/>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8"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55"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49"/>
    <w:rsid w:val="00951C37"/>
    <w:pPr>
      <w:spacing w:after="120" w:line="280" w:lineRule="atLeast"/>
    </w:pPr>
    <w:rPr>
      <w:rFonts w:ascii="Calibri" w:hAnsi="Calibri"/>
    </w:rPr>
  </w:style>
  <w:style w:type="paragraph" w:styleId="Heading1">
    <w:name w:val="heading 1"/>
    <w:basedOn w:val="Normal"/>
    <w:next w:val="USBodyText"/>
    <w:link w:val="Heading1Char"/>
    <w:uiPriority w:val="9"/>
    <w:qFormat/>
    <w:rsid w:val="00087449"/>
    <w:pPr>
      <w:keepNext/>
      <w:keepLines/>
      <w:numPr>
        <w:numId w:val="29"/>
      </w:numPr>
      <w:pBdr>
        <w:bottom w:val="single" w:sz="12" w:space="4" w:color="0094C5"/>
      </w:pBdr>
      <w:spacing w:before="480" w:after="360" w:line="380" w:lineRule="atLeast"/>
      <w:outlineLvl w:val="0"/>
    </w:pPr>
    <w:rPr>
      <w:rFonts w:eastAsiaTheme="majorEastAsia" w:cstheme="majorBidi"/>
      <w:b/>
      <w:color w:val="0094C5"/>
      <w:sz w:val="32"/>
      <w:szCs w:val="32"/>
    </w:rPr>
  </w:style>
  <w:style w:type="paragraph" w:styleId="Heading2">
    <w:name w:val="heading 2"/>
    <w:basedOn w:val="Normal"/>
    <w:next w:val="USBodyText"/>
    <w:link w:val="Heading2Char"/>
    <w:uiPriority w:val="12"/>
    <w:qFormat/>
    <w:rsid w:val="00087449"/>
    <w:pPr>
      <w:keepNext/>
      <w:keepLines/>
      <w:numPr>
        <w:ilvl w:val="1"/>
        <w:numId w:val="29"/>
      </w:numPr>
      <w:spacing w:before="360" w:after="80" w:line="320" w:lineRule="atLeast"/>
      <w:outlineLvl w:val="1"/>
    </w:pPr>
    <w:rPr>
      <w:rFonts w:eastAsiaTheme="majorEastAsia" w:cstheme="majorBidi"/>
      <w:b/>
      <w:color w:val="0094C5" w:themeColor="accent1"/>
      <w:sz w:val="26"/>
      <w:szCs w:val="26"/>
    </w:rPr>
  </w:style>
  <w:style w:type="paragraph" w:styleId="Heading3">
    <w:name w:val="heading 3"/>
    <w:basedOn w:val="Normal"/>
    <w:next w:val="USBodyText"/>
    <w:link w:val="Heading3Char"/>
    <w:uiPriority w:val="12"/>
    <w:qFormat/>
    <w:rsid w:val="00087449"/>
    <w:pPr>
      <w:keepNext/>
      <w:keepLines/>
      <w:numPr>
        <w:ilvl w:val="2"/>
        <w:numId w:val="29"/>
      </w:numPr>
      <w:spacing w:before="260" w:line="300" w:lineRule="atLeast"/>
      <w:outlineLvl w:val="2"/>
    </w:pPr>
    <w:rPr>
      <w:rFonts w:eastAsiaTheme="majorEastAsia" w:cstheme="majorBidi"/>
      <w:b/>
      <w:color w:val="0094C5" w:themeColor="accent1"/>
      <w:sz w:val="24"/>
      <w:szCs w:val="24"/>
    </w:rPr>
  </w:style>
  <w:style w:type="paragraph" w:styleId="Heading4">
    <w:name w:val="heading 4"/>
    <w:basedOn w:val="Normal"/>
    <w:next w:val="USBodyText"/>
    <w:link w:val="Heading4Char"/>
    <w:uiPriority w:val="12"/>
    <w:qFormat/>
    <w:rsid w:val="007B14FD"/>
    <w:pPr>
      <w:keepNext/>
      <w:keepLines/>
      <w:spacing w:before="200" w:after="40" w:line="300" w:lineRule="atLeast"/>
      <w:ind w:left="851"/>
      <w:outlineLvl w:val="3"/>
    </w:pPr>
    <w:rPr>
      <w:rFonts w:eastAsiaTheme="majorEastAsia" w:cstheme="majorBidi"/>
      <w:b/>
      <w:iCs/>
      <w:color w:val="0094C5" w:themeColor="accent1"/>
      <w:sz w:val="24"/>
    </w:rPr>
  </w:style>
  <w:style w:type="paragraph" w:styleId="Heading5">
    <w:name w:val="heading 5"/>
    <w:basedOn w:val="Normal"/>
    <w:next w:val="USBodyText"/>
    <w:link w:val="Heading5Char"/>
    <w:uiPriority w:val="12"/>
    <w:qFormat/>
    <w:rsid w:val="007B14FD"/>
    <w:pPr>
      <w:keepNext/>
      <w:keepLines/>
      <w:spacing w:before="160" w:after="0" w:line="300" w:lineRule="atLeast"/>
      <w:ind w:left="851"/>
      <w:outlineLvl w:val="4"/>
    </w:pPr>
    <w:rPr>
      <w:rFonts w:eastAsiaTheme="majorEastAsia" w:cstheme="majorBidi"/>
      <w:b/>
      <w:color w:val="30353F"/>
    </w:rPr>
  </w:style>
  <w:style w:type="paragraph" w:styleId="Heading6">
    <w:name w:val="heading 6"/>
    <w:basedOn w:val="Normal"/>
    <w:next w:val="Normal"/>
    <w:link w:val="Heading6Char"/>
    <w:uiPriority w:val="12"/>
    <w:semiHidden/>
    <w:qFormat/>
    <w:rsid w:val="000A425B"/>
    <w:pPr>
      <w:keepNext/>
      <w:keepLines/>
      <w:spacing w:before="40" w:after="0"/>
      <w:outlineLvl w:val="5"/>
    </w:pPr>
    <w:rPr>
      <w:rFonts w:asciiTheme="majorHAnsi" w:eastAsiaTheme="majorEastAsia" w:hAnsiTheme="majorHAnsi" w:cstheme="majorBidi"/>
      <w:color w:val="004962" w:themeColor="accent1" w:themeShade="7F"/>
    </w:rPr>
  </w:style>
  <w:style w:type="paragraph" w:styleId="Heading7">
    <w:name w:val="heading 7"/>
    <w:basedOn w:val="Normal"/>
    <w:next w:val="Normal"/>
    <w:link w:val="Heading7Char"/>
    <w:uiPriority w:val="12"/>
    <w:semiHidden/>
    <w:qFormat/>
    <w:rsid w:val="000A425B"/>
    <w:pPr>
      <w:keepNext/>
      <w:keepLines/>
      <w:spacing w:before="40" w:after="0"/>
      <w:outlineLvl w:val="6"/>
    </w:pPr>
    <w:rPr>
      <w:rFonts w:asciiTheme="majorHAnsi" w:eastAsiaTheme="majorEastAsia" w:hAnsiTheme="majorHAnsi" w:cstheme="majorBidi"/>
      <w:i/>
      <w:iCs/>
      <w:color w:val="004962" w:themeColor="accent1" w:themeShade="7F"/>
    </w:rPr>
  </w:style>
  <w:style w:type="paragraph" w:styleId="Heading8">
    <w:name w:val="heading 8"/>
    <w:basedOn w:val="Normal"/>
    <w:next w:val="Normal"/>
    <w:link w:val="Heading8Char"/>
    <w:uiPriority w:val="12"/>
    <w:semiHidden/>
    <w:unhideWhenUsed/>
    <w:qFormat/>
    <w:rsid w:val="000A425B"/>
    <w:pPr>
      <w:keepNext/>
      <w:keepLines/>
      <w:spacing w:before="40" w:after="0"/>
      <w:outlineLvl w:val="7"/>
    </w:pPr>
    <w:rPr>
      <w:rFonts w:asciiTheme="majorHAnsi" w:eastAsiaTheme="majorEastAsia" w:hAnsiTheme="majorHAnsi" w:cstheme="majorBidi"/>
      <w:color w:val="4A5261" w:themeColor="text1" w:themeTint="D8"/>
      <w:sz w:val="21"/>
      <w:szCs w:val="21"/>
    </w:rPr>
  </w:style>
  <w:style w:type="paragraph" w:styleId="Heading9">
    <w:name w:val="heading 9"/>
    <w:basedOn w:val="Normal"/>
    <w:next w:val="Normal"/>
    <w:link w:val="Heading9Char"/>
    <w:uiPriority w:val="12"/>
    <w:semiHidden/>
    <w:unhideWhenUsed/>
    <w:qFormat/>
    <w:rsid w:val="000A425B"/>
    <w:pPr>
      <w:keepNext/>
      <w:keepLines/>
      <w:spacing w:before="40" w:after="0"/>
      <w:outlineLvl w:val="8"/>
    </w:pPr>
    <w:rPr>
      <w:rFonts w:asciiTheme="majorHAnsi" w:eastAsiaTheme="majorEastAsia" w:hAnsiTheme="majorHAnsi" w:cstheme="majorBidi"/>
      <w:i/>
      <w:iCs/>
      <w:color w:val="4A5261"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USBodyText"/>
    <w:link w:val="HeaderChar"/>
    <w:semiHidden/>
    <w:rsid w:val="00423754"/>
    <w:pPr>
      <w:spacing w:after="0" w:line="240" w:lineRule="auto"/>
      <w:ind w:left="0"/>
      <w:jc w:val="right"/>
    </w:pPr>
  </w:style>
  <w:style w:type="character" w:customStyle="1" w:styleId="HeaderChar">
    <w:name w:val="Header Char"/>
    <w:basedOn w:val="DefaultParagraphFont"/>
    <w:link w:val="Header"/>
    <w:semiHidden/>
    <w:rsid w:val="00767A30"/>
    <w:rPr>
      <w:rFonts w:ascii="Calibri" w:hAnsi="Calibri"/>
    </w:rPr>
  </w:style>
  <w:style w:type="paragraph" w:styleId="Footer">
    <w:name w:val="footer"/>
    <w:basedOn w:val="Normal"/>
    <w:link w:val="FooterChar"/>
    <w:uiPriority w:val="47"/>
    <w:rsid w:val="00C84B04"/>
    <w:pPr>
      <w:spacing w:after="0" w:line="240" w:lineRule="auto"/>
      <w:jc w:val="right"/>
    </w:pPr>
    <w:rPr>
      <w:color w:val="595959"/>
      <w:sz w:val="20"/>
    </w:rPr>
  </w:style>
  <w:style w:type="character" w:customStyle="1" w:styleId="FooterChar">
    <w:name w:val="Footer Char"/>
    <w:basedOn w:val="DefaultParagraphFont"/>
    <w:link w:val="Footer"/>
    <w:uiPriority w:val="47"/>
    <w:rsid w:val="005B31F9"/>
    <w:rPr>
      <w:rFonts w:ascii="Calibri" w:hAnsi="Calibri"/>
      <w:color w:val="595959"/>
      <w:sz w:val="20"/>
    </w:rPr>
  </w:style>
  <w:style w:type="table" w:styleId="TableGrid">
    <w:name w:val="Table Grid"/>
    <w:basedOn w:val="TableNormal"/>
    <w:uiPriority w:val="39"/>
    <w:rsid w:val="00916CFA"/>
    <w:pPr>
      <w:spacing w:after="0" w:line="240" w:lineRule="auto"/>
    </w:pPr>
    <w:tblPr>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5Dark-Accent1">
    <w:name w:val="Grid Table 5 Dark Accent 1"/>
    <w:basedOn w:val="TableNormal"/>
    <w:uiPriority w:val="50"/>
    <w:rsid w:val="00BB4E8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0EF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94C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94C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94C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94C5" w:themeFill="accent1"/>
      </w:tcPr>
    </w:tblStylePr>
    <w:tblStylePr w:type="band1Vert">
      <w:tblPr/>
      <w:tcPr>
        <w:shd w:val="clear" w:color="auto" w:fill="81DFFF" w:themeFill="accent1" w:themeFillTint="66"/>
      </w:tcPr>
    </w:tblStylePr>
    <w:tblStylePr w:type="band1Horz">
      <w:tblPr/>
      <w:tcPr>
        <w:shd w:val="clear" w:color="auto" w:fill="81DFFF" w:themeFill="accent1" w:themeFillTint="66"/>
      </w:tcPr>
    </w:tblStylePr>
  </w:style>
  <w:style w:type="character" w:customStyle="1" w:styleId="Heading1Char">
    <w:name w:val="Heading 1 Char"/>
    <w:basedOn w:val="DefaultParagraphFont"/>
    <w:link w:val="Heading1"/>
    <w:uiPriority w:val="9"/>
    <w:rsid w:val="006D0BF3"/>
    <w:rPr>
      <w:rFonts w:ascii="Calibri" w:eastAsiaTheme="majorEastAsia" w:hAnsi="Calibri" w:cstheme="majorBidi"/>
      <w:b/>
      <w:color w:val="0094C5"/>
      <w:sz w:val="32"/>
      <w:szCs w:val="32"/>
    </w:rPr>
  </w:style>
  <w:style w:type="paragraph" w:customStyle="1" w:styleId="Heading1Letter">
    <w:name w:val="Heading 1 Letter"/>
    <w:basedOn w:val="Normal"/>
    <w:next w:val="USBodyText"/>
    <w:uiPriority w:val="14"/>
    <w:semiHidden/>
    <w:rsid w:val="00DC582A"/>
    <w:pPr>
      <w:keepNext/>
      <w:keepLines/>
      <w:spacing w:before="200" w:after="40" w:line="300" w:lineRule="atLeast"/>
    </w:pPr>
    <w:rPr>
      <w:b/>
      <w:color w:val="0094C5" w:themeColor="accent1"/>
      <w:sz w:val="24"/>
    </w:rPr>
  </w:style>
  <w:style w:type="paragraph" w:customStyle="1" w:styleId="Heading2Letter">
    <w:name w:val="Heading 2 Letter"/>
    <w:basedOn w:val="Normal"/>
    <w:next w:val="USBodyText"/>
    <w:uiPriority w:val="14"/>
    <w:semiHidden/>
    <w:rsid w:val="00DC582A"/>
    <w:pPr>
      <w:keepNext/>
      <w:keepLines/>
      <w:spacing w:before="160" w:after="20" w:line="300" w:lineRule="atLeast"/>
    </w:pPr>
    <w:rPr>
      <w:b/>
      <w:color w:val="30353F"/>
      <w:sz w:val="24"/>
    </w:rPr>
  </w:style>
  <w:style w:type="paragraph" w:customStyle="1" w:styleId="HeadingSubjectLetter">
    <w:name w:val="Heading Subject Letter"/>
    <w:basedOn w:val="Normal"/>
    <w:next w:val="USBodyText"/>
    <w:uiPriority w:val="14"/>
    <w:semiHidden/>
    <w:rsid w:val="00DC582A"/>
    <w:pPr>
      <w:keepNext/>
      <w:keepLines/>
      <w:spacing w:before="160" w:after="80" w:line="320" w:lineRule="atLeast"/>
    </w:pPr>
    <w:rPr>
      <w:b/>
      <w:color w:val="0094C5" w:themeColor="accent1"/>
      <w:sz w:val="26"/>
    </w:rPr>
  </w:style>
  <w:style w:type="character" w:styleId="PlaceholderText">
    <w:name w:val="Placeholder Text"/>
    <w:basedOn w:val="DefaultParagraphFont"/>
    <w:uiPriority w:val="99"/>
    <w:semiHidden/>
    <w:rsid w:val="006D158B"/>
    <w:rPr>
      <w:color w:val="808080"/>
    </w:rPr>
  </w:style>
  <w:style w:type="paragraph" w:customStyle="1" w:styleId="USBodyText">
    <w:name w:val="US Body Text"/>
    <w:basedOn w:val="Normal"/>
    <w:uiPriority w:val="15"/>
    <w:qFormat/>
    <w:rsid w:val="00C351CC"/>
    <w:pPr>
      <w:ind w:left="851"/>
    </w:pPr>
  </w:style>
  <w:style w:type="paragraph" w:customStyle="1" w:styleId="USBullet1">
    <w:name w:val="US Bullet 1"/>
    <w:basedOn w:val="Normal"/>
    <w:uiPriority w:val="16"/>
    <w:qFormat/>
    <w:rsid w:val="006D158B"/>
    <w:pPr>
      <w:numPr>
        <w:numId w:val="1"/>
      </w:numPr>
    </w:pPr>
  </w:style>
  <w:style w:type="paragraph" w:customStyle="1" w:styleId="USBullet2">
    <w:name w:val="US Bullet 2"/>
    <w:basedOn w:val="Normal"/>
    <w:uiPriority w:val="16"/>
    <w:rsid w:val="00D97611"/>
    <w:pPr>
      <w:numPr>
        <w:ilvl w:val="1"/>
        <w:numId w:val="1"/>
      </w:numPr>
    </w:pPr>
  </w:style>
  <w:style w:type="paragraph" w:customStyle="1" w:styleId="USBullet3">
    <w:name w:val="US Bullet 3"/>
    <w:basedOn w:val="Normal"/>
    <w:uiPriority w:val="16"/>
    <w:rsid w:val="006D158B"/>
    <w:pPr>
      <w:numPr>
        <w:ilvl w:val="2"/>
        <w:numId w:val="1"/>
      </w:numPr>
    </w:pPr>
  </w:style>
  <w:style w:type="paragraph" w:customStyle="1" w:styleId="USMixedB2">
    <w:name w:val="US Mixed B2"/>
    <w:basedOn w:val="Normal"/>
    <w:uiPriority w:val="16"/>
    <w:semiHidden/>
    <w:rsid w:val="006D158B"/>
    <w:pPr>
      <w:numPr>
        <w:numId w:val="2"/>
      </w:numPr>
    </w:pPr>
  </w:style>
  <w:style w:type="paragraph" w:customStyle="1" w:styleId="USMixedB3">
    <w:name w:val="US Mixed B3"/>
    <w:basedOn w:val="Normal"/>
    <w:uiPriority w:val="16"/>
    <w:semiHidden/>
    <w:rsid w:val="006D158B"/>
    <w:pPr>
      <w:numPr>
        <w:ilvl w:val="1"/>
        <w:numId w:val="2"/>
      </w:numPr>
    </w:pPr>
  </w:style>
  <w:style w:type="paragraph" w:customStyle="1" w:styleId="USNumber1">
    <w:name w:val="US Number 1"/>
    <w:basedOn w:val="Normal"/>
    <w:uiPriority w:val="16"/>
    <w:qFormat/>
    <w:rsid w:val="006D158B"/>
    <w:pPr>
      <w:numPr>
        <w:numId w:val="3"/>
      </w:numPr>
    </w:pPr>
  </w:style>
  <w:style w:type="paragraph" w:customStyle="1" w:styleId="USNumbera">
    <w:name w:val="US Number a"/>
    <w:basedOn w:val="Normal"/>
    <w:uiPriority w:val="16"/>
    <w:rsid w:val="006D158B"/>
    <w:pPr>
      <w:numPr>
        <w:ilvl w:val="1"/>
        <w:numId w:val="3"/>
      </w:numPr>
    </w:pPr>
  </w:style>
  <w:style w:type="paragraph" w:customStyle="1" w:styleId="USNumberi">
    <w:name w:val="US Number i"/>
    <w:basedOn w:val="Normal"/>
    <w:uiPriority w:val="16"/>
    <w:rsid w:val="006D158B"/>
    <w:pPr>
      <w:numPr>
        <w:ilvl w:val="2"/>
        <w:numId w:val="3"/>
      </w:numPr>
    </w:pPr>
  </w:style>
  <w:style w:type="paragraph" w:customStyle="1" w:styleId="USIndent1">
    <w:name w:val="US Indent 1"/>
    <w:basedOn w:val="Normal"/>
    <w:uiPriority w:val="17"/>
    <w:qFormat/>
    <w:rsid w:val="00C7648A"/>
    <w:pPr>
      <w:ind w:left="1276"/>
    </w:pPr>
  </w:style>
  <w:style w:type="paragraph" w:customStyle="1" w:styleId="USIndent2">
    <w:name w:val="US Indent 2"/>
    <w:basedOn w:val="Normal"/>
    <w:uiPriority w:val="17"/>
    <w:rsid w:val="00273D60"/>
    <w:pPr>
      <w:ind w:left="1701"/>
    </w:pPr>
  </w:style>
  <w:style w:type="paragraph" w:customStyle="1" w:styleId="USIndent3">
    <w:name w:val="US Indent 3"/>
    <w:basedOn w:val="Normal"/>
    <w:uiPriority w:val="17"/>
    <w:rsid w:val="00273D60"/>
    <w:pPr>
      <w:ind w:left="2126"/>
    </w:pPr>
  </w:style>
  <w:style w:type="paragraph" w:customStyle="1" w:styleId="Quotation">
    <w:name w:val="Quotation"/>
    <w:basedOn w:val="Normal"/>
    <w:uiPriority w:val="18"/>
    <w:rsid w:val="008B544F"/>
    <w:pPr>
      <w:spacing w:before="120"/>
      <w:ind w:left="1276" w:right="425"/>
    </w:pPr>
    <w:rPr>
      <w:i/>
      <w:color w:val="30353F"/>
    </w:rPr>
  </w:style>
  <w:style w:type="character" w:customStyle="1" w:styleId="Heading2Char">
    <w:name w:val="Heading 2 Char"/>
    <w:basedOn w:val="DefaultParagraphFont"/>
    <w:link w:val="Heading2"/>
    <w:uiPriority w:val="12"/>
    <w:rsid w:val="006D0BF3"/>
    <w:rPr>
      <w:rFonts w:ascii="Calibri" w:eastAsiaTheme="majorEastAsia" w:hAnsi="Calibri" w:cstheme="majorBidi"/>
      <w:b/>
      <w:color w:val="0094C5" w:themeColor="accent1"/>
      <w:sz w:val="26"/>
      <w:szCs w:val="26"/>
    </w:rPr>
  </w:style>
  <w:style w:type="paragraph" w:customStyle="1" w:styleId="USSingleSpacedParagraph">
    <w:name w:val="US Single Spaced Paragraph"/>
    <w:basedOn w:val="USBodyText"/>
    <w:uiPriority w:val="15"/>
    <w:rsid w:val="00273D60"/>
    <w:pPr>
      <w:spacing w:after="0"/>
    </w:pPr>
  </w:style>
  <w:style w:type="character" w:customStyle="1" w:styleId="Heading3Char">
    <w:name w:val="Heading 3 Char"/>
    <w:basedOn w:val="DefaultParagraphFont"/>
    <w:link w:val="Heading3"/>
    <w:uiPriority w:val="12"/>
    <w:rsid w:val="006D0BF3"/>
    <w:rPr>
      <w:rFonts w:ascii="Calibri" w:eastAsiaTheme="majorEastAsia" w:hAnsi="Calibri" w:cstheme="majorBidi"/>
      <w:b/>
      <w:color w:val="0094C5" w:themeColor="accent1"/>
      <w:sz w:val="24"/>
      <w:szCs w:val="24"/>
    </w:rPr>
  </w:style>
  <w:style w:type="character" w:customStyle="1" w:styleId="Heading4Char">
    <w:name w:val="Heading 4 Char"/>
    <w:basedOn w:val="DefaultParagraphFont"/>
    <w:link w:val="Heading4"/>
    <w:uiPriority w:val="12"/>
    <w:rsid w:val="007B14FD"/>
    <w:rPr>
      <w:rFonts w:ascii="Calibri" w:eastAsiaTheme="majorEastAsia" w:hAnsi="Calibri" w:cstheme="majorBidi"/>
      <w:b/>
      <w:iCs/>
      <w:color w:val="0094C5" w:themeColor="accent1"/>
      <w:sz w:val="24"/>
    </w:rPr>
  </w:style>
  <w:style w:type="character" w:customStyle="1" w:styleId="Heading5Char">
    <w:name w:val="Heading 5 Char"/>
    <w:basedOn w:val="DefaultParagraphFont"/>
    <w:link w:val="Heading5"/>
    <w:uiPriority w:val="12"/>
    <w:rsid w:val="007B14FD"/>
    <w:rPr>
      <w:rFonts w:ascii="Calibri" w:eastAsiaTheme="majorEastAsia" w:hAnsi="Calibri" w:cstheme="majorBidi"/>
      <w:b/>
      <w:color w:val="30353F"/>
    </w:rPr>
  </w:style>
  <w:style w:type="paragraph" w:styleId="FootnoteText">
    <w:name w:val="footnote text"/>
    <w:basedOn w:val="Normal"/>
    <w:link w:val="FootnoteTextChar"/>
    <w:uiPriority w:val="40"/>
    <w:rsid w:val="00534AC9"/>
    <w:pPr>
      <w:tabs>
        <w:tab w:val="left" w:pos="425"/>
      </w:tabs>
      <w:spacing w:after="57" w:line="170" w:lineRule="atLeast"/>
      <w:ind w:left="425" w:hanging="425"/>
    </w:pPr>
    <w:rPr>
      <w:sz w:val="16"/>
      <w:szCs w:val="20"/>
    </w:rPr>
  </w:style>
  <w:style w:type="character" w:customStyle="1" w:styleId="FootnoteTextChar">
    <w:name w:val="Footnote Text Char"/>
    <w:basedOn w:val="DefaultParagraphFont"/>
    <w:link w:val="FootnoteText"/>
    <w:uiPriority w:val="40"/>
    <w:rsid w:val="006D0BF3"/>
    <w:rPr>
      <w:rFonts w:ascii="Calibri" w:hAnsi="Calibri"/>
      <w:sz w:val="16"/>
      <w:szCs w:val="20"/>
    </w:rPr>
  </w:style>
  <w:style w:type="character" w:styleId="FootnoteReference">
    <w:name w:val="footnote reference"/>
    <w:basedOn w:val="DefaultParagraphFont"/>
    <w:uiPriority w:val="99"/>
    <w:unhideWhenUsed/>
    <w:rsid w:val="00834343"/>
    <w:rPr>
      <w:vertAlign w:val="superscript"/>
    </w:rPr>
  </w:style>
  <w:style w:type="table" w:customStyle="1" w:styleId="TableDefault">
    <w:name w:val="Table Default"/>
    <w:basedOn w:val="TableNormal"/>
    <w:uiPriority w:val="99"/>
    <w:rsid w:val="00F40CA2"/>
    <w:pPr>
      <w:spacing w:after="0" w:line="240" w:lineRule="auto"/>
    </w:pPr>
    <w:tblPr>
      <w:tblStyleRowBandSize w:val="1"/>
      <w:tblStyleColBandSize w:val="1"/>
      <w:tblInd w:w="851" w:type="dxa"/>
      <w:tblBorders>
        <w:top w:val="single" w:sz="6" w:space="0" w:color="0094C5" w:themeColor="accent1"/>
        <w:bottom w:val="single" w:sz="6" w:space="0" w:color="0094C5" w:themeColor="accent1"/>
        <w:insideH w:val="single" w:sz="6" w:space="0" w:color="0094C5" w:themeColor="accent1"/>
      </w:tblBorders>
    </w:tblPr>
    <w:tblStylePr w:type="firstRow">
      <w:tblPr/>
      <w:trPr>
        <w:tblHeader/>
      </w:trPr>
      <w:tcPr>
        <w:shd w:val="clear" w:color="auto" w:fill="0094C5" w:themeFill="accent1"/>
      </w:tcPr>
    </w:tblStylePr>
    <w:tblStylePr w:type="lastRow">
      <w:tblPr/>
      <w:tcPr>
        <w:tcBorders>
          <w:top w:val="nil"/>
          <w:left w:val="nil"/>
          <w:bottom w:val="single" w:sz="12" w:space="0" w:color="0094C5"/>
          <w:right w:val="nil"/>
          <w:insideH w:val="nil"/>
          <w:insideV w:val="nil"/>
          <w:tl2br w:val="nil"/>
          <w:tr2bl w:val="nil"/>
        </w:tcBorders>
      </w:tcPr>
    </w:tblStylePr>
    <w:tblStylePr w:type="band2Horz">
      <w:tblPr/>
      <w:tcPr>
        <w:shd w:val="clear" w:color="auto" w:fill="EEECF0"/>
      </w:tcPr>
    </w:tblStylePr>
  </w:style>
  <w:style w:type="paragraph" w:styleId="Caption">
    <w:name w:val="caption"/>
    <w:basedOn w:val="Normal"/>
    <w:next w:val="USBodyText"/>
    <w:uiPriority w:val="33"/>
    <w:qFormat/>
    <w:rsid w:val="00E01501"/>
    <w:pPr>
      <w:keepNext/>
      <w:tabs>
        <w:tab w:val="left" w:pos="851"/>
      </w:tabs>
      <w:spacing w:before="360" w:after="0" w:line="300" w:lineRule="atLeast"/>
      <w:ind w:left="1900" w:hanging="1049"/>
    </w:pPr>
    <w:rPr>
      <w:b/>
      <w:iCs/>
      <w:color w:val="0094C5"/>
      <w:sz w:val="24"/>
      <w:szCs w:val="18"/>
    </w:rPr>
  </w:style>
  <w:style w:type="paragraph" w:customStyle="1" w:styleId="TSTableNormal1">
    <w:name w:val="TS Table Normal1"/>
    <w:basedOn w:val="Normal"/>
    <w:uiPriority w:val="49"/>
    <w:semiHidden/>
    <w:rsid w:val="005B31F9"/>
    <w:pPr>
      <w:spacing w:before="60" w:after="60" w:line="220" w:lineRule="atLeast"/>
    </w:pPr>
    <w:rPr>
      <w:sz w:val="18"/>
    </w:rPr>
  </w:style>
  <w:style w:type="paragraph" w:customStyle="1" w:styleId="TSTableHeadingWhite-TopRow">
    <w:name w:val="TS Table Heading White - Top Row"/>
    <w:basedOn w:val="TSTableNormal1"/>
    <w:uiPriority w:val="41"/>
    <w:rsid w:val="00E85056"/>
    <w:pPr>
      <w:keepNext/>
      <w:keepLines/>
      <w:spacing w:before="80" w:after="80"/>
    </w:pPr>
    <w:rPr>
      <w:b/>
      <w:color w:val="FFFFFF"/>
    </w:rPr>
  </w:style>
  <w:style w:type="paragraph" w:customStyle="1" w:styleId="TSBodyText">
    <w:name w:val="TS Body Text"/>
    <w:basedOn w:val="TSTableNormal1"/>
    <w:uiPriority w:val="42"/>
    <w:rsid w:val="00E457E0"/>
  </w:style>
  <w:style w:type="paragraph" w:customStyle="1" w:styleId="TSTextBodyText">
    <w:name w:val="TS Text (Body Text)"/>
    <w:basedOn w:val="TSTableNormal1"/>
    <w:uiPriority w:val="39"/>
    <w:semiHidden/>
    <w:rsid w:val="00CB496D"/>
    <w:pPr>
      <w:keepNext/>
    </w:pPr>
  </w:style>
  <w:style w:type="paragraph" w:customStyle="1" w:styleId="TSNumber1">
    <w:name w:val="TS Number 1"/>
    <w:basedOn w:val="TSTableNormal1"/>
    <w:uiPriority w:val="43"/>
    <w:rsid w:val="00DA2CC5"/>
    <w:pPr>
      <w:numPr>
        <w:numId w:val="27"/>
      </w:numPr>
    </w:pPr>
  </w:style>
  <w:style w:type="paragraph" w:customStyle="1" w:styleId="TSNumbera">
    <w:name w:val="TS Number a"/>
    <w:basedOn w:val="TSTableNormal1"/>
    <w:uiPriority w:val="43"/>
    <w:rsid w:val="00DA2CC5"/>
    <w:pPr>
      <w:numPr>
        <w:ilvl w:val="1"/>
        <w:numId w:val="27"/>
      </w:numPr>
      <w:tabs>
        <w:tab w:val="left" w:pos="425"/>
      </w:tabs>
      <w:ind w:left="430" w:hanging="215"/>
    </w:pPr>
  </w:style>
  <w:style w:type="paragraph" w:customStyle="1" w:styleId="TSNumberi">
    <w:name w:val="TS Number i"/>
    <w:basedOn w:val="TSTableNormal1"/>
    <w:uiPriority w:val="43"/>
    <w:rsid w:val="00DA2CC5"/>
    <w:pPr>
      <w:numPr>
        <w:ilvl w:val="2"/>
        <w:numId w:val="27"/>
      </w:numPr>
      <w:tabs>
        <w:tab w:val="left" w:pos="641"/>
      </w:tabs>
      <w:ind w:left="640" w:hanging="215"/>
    </w:pPr>
  </w:style>
  <w:style w:type="paragraph" w:customStyle="1" w:styleId="TSIndent1">
    <w:name w:val="TS Indent 1"/>
    <w:basedOn w:val="TSTableNormal1"/>
    <w:uiPriority w:val="43"/>
    <w:rsid w:val="00E85056"/>
    <w:pPr>
      <w:ind w:left="215"/>
    </w:pPr>
  </w:style>
  <w:style w:type="paragraph" w:customStyle="1" w:styleId="TSIndent2">
    <w:name w:val="TS Indent 2"/>
    <w:basedOn w:val="TSTableNormal1"/>
    <w:uiPriority w:val="43"/>
    <w:rsid w:val="00E85056"/>
    <w:pPr>
      <w:ind w:left="425"/>
    </w:pPr>
  </w:style>
  <w:style w:type="paragraph" w:customStyle="1" w:styleId="TSIndent3">
    <w:name w:val="TS Indent 3"/>
    <w:basedOn w:val="TSTableNormal1"/>
    <w:uiPriority w:val="43"/>
    <w:rsid w:val="00E85056"/>
    <w:pPr>
      <w:ind w:left="641"/>
    </w:pPr>
  </w:style>
  <w:style w:type="paragraph" w:customStyle="1" w:styleId="USWhiteSpace">
    <w:name w:val="US White Space"/>
    <w:basedOn w:val="Normal"/>
    <w:uiPriority w:val="45"/>
    <w:rsid w:val="00A16BDB"/>
    <w:pPr>
      <w:spacing w:after="0" w:line="240" w:lineRule="auto"/>
      <w:ind w:left="851"/>
    </w:pPr>
    <w:rPr>
      <w:sz w:val="12"/>
    </w:rPr>
  </w:style>
  <w:style w:type="paragraph" w:customStyle="1" w:styleId="TSBodyHeading">
    <w:name w:val="TS Body Heading"/>
    <w:basedOn w:val="TSBodyText"/>
    <w:next w:val="TSTextBodyText"/>
    <w:uiPriority w:val="42"/>
    <w:rsid w:val="005B31F9"/>
    <w:pPr>
      <w:spacing w:before="120" w:after="0"/>
    </w:pPr>
    <w:rPr>
      <w:b/>
    </w:rPr>
  </w:style>
  <w:style w:type="paragraph" w:customStyle="1" w:styleId="TSMixedB2">
    <w:name w:val="TS Mixed B2"/>
    <w:basedOn w:val="TSTableNormal1"/>
    <w:uiPriority w:val="43"/>
    <w:semiHidden/>
    <w:rsid w:val="00A365B0"/>
    <w:pPr>
      <w:numPr>
        <w:numId w:val="8"/>
      </w:numPr>
    </w:pPr>
  </w:style>
  <w:style w:type="paragraph" w:customStyle="1" w:styleId="TSMixedB3">
    <w:name w:val="TS Mixed B3"/>
    <w:basedOn w:val="TSTableNormal1"/>
    <w:uiPriority w:val="43"/>
    <w:semiHidden/>
    <w:rsid w:val="009D78B4"/>
    <w:pPr>
      <w:numPr>
        <w:ilvl w:val="1"/>
        <w:numId w:val="8"/>
      </w:numPr>
      <w:ind w:left="640" w:hanging="215"/>
    </w:pPr>
  </w:style>
  <w:style w:type="paragraph" w:customStyle="1" w:styleId="USSource">
    <w:name w:val="US Source"/>
    <w:basedOn w:val="Normal"/>
    <w:uiPriority w:val="45"/>
    <w:rsid w:val="00590C9C"/>
    <w:pPr>
      <w:spacing w:before="120" w:after="360" w:line="220" w:lineRule="atLeast"/>
      <w:ind w:left="851"/>
    </w:pPr>
    <w:rPr>
      <w:sz w:val="18"/>
    </w:rPr>
  </w:style>
  <w:style w:type="paragraph" w:customStyle="1" w:styleId="USNotes">
    <w:name w:val="US Notes"/>
    <w:basedOn w:val="TSTableNormal1"/>
    <w:uiPriority w:val="45"/>
    <w:rsid w:val="004E21BB"/>
    <w:pPr>
      <w:numPr>
        <w:numId w:val="6"/>
      </w:numPr>
    </w:pPr>
  </w:style>
  <w:style w:type="paragraph" w:customStyle="1" w:styleId="TSTextSingle">
    <w:name w:val="TS Text (Single)"/>
    <w:basedOn w:val="TSBodyText"/>
    <w:uiPriority w:val="44"/>
    <w:rsid w:val="00410845"/>
    <w:pPr>
      <w:spacing w:before="0" w:after="0"/>
    </w:pPr>
  </w:style>
  <w:style w:type="paragraph" w:customStyle="1" w:styleId="TSBullet1">
    <w:name w:val="TS Bullet 1"/>
    <w:basedOn w:val="TSTableNormal1"/>
    <w:uiPriority w:val="43"/>
    <w:rsid w:val="00E85056"/>
    <w:pPr>
      <w:numPr>
        <w:numId w:val="7"/>
      </w:numPr>
    </w:pPr>
  </w:style>
  <w:style w:type="paragraph" w:customStyle="1" w:styleId="TSBullet2">
    <w:name w:val="TS Bullet 2"/>
    <w:basedOn w:val="TSTableNormal1"/>
    <w:uiPriority w:val="43"/>
    <w:rsid w:val="00DA2CC5"/>
    <w:pPr>
      <w:numPr>
        <w:ilvl w:val="1"/>
        <w:numId w:val="7"/>
      </w:numPr>
      <w:ind w:left="430" w:hanging="215"/>
    </w:pPr>
  </w:style>
  <w:style w:type="paragraph" w:customStyle="1" w:styleId="TSBullet3">
    <w:name w:val="TS Bullet 3"/>
    <w:basedOn w:val="TSTableNormal1"/>
    <w:uiPriority w:val="43"/>
    <w:rsid w:val="00E85056"/>
    <w:pPr>
      <w:numPr>
        <w:ilvl w:val="2"/>
        <w:numId w:val="7"/>
      </w:numPr>
      <w:ind w:left="640" w:hanging="215"/>
    </w:pPr>
  </w:style>
  <w:style w:type="character" w:customStyle="1" w:styleId="Heading6Char">
    <w:name w:val="Heading 6 Char"/>
    <w:basedOn w:val="DefaultParagraphFont"/>
    <w:link w:val="Heading6"/>
    <w:uiPriority w:val="12"/>
    <w:semiHidden/>
    <w:rsid w:val="006D0BF3"/>
    <w:rPr>
      <w:rFonts w:asciiTheme="majorHAnsi" w:eastAsiaTheme="majorEastAsia" w:hAnsiTheme="majorHAnsi" w:cstheme="majorBidi"/>
      <w:color w:val="004962" w:themeColor="accent1" w:themeShade="7F"/>
    </w:rPr>
  </w:style>
  <w:style w:type="character" w:customStyle="1" w:styleId="Heading7Char">
    <w:name w:val="Heading 7 Char"/>
    <w:basedOn w:val="DefaultParagraphFont"/>
    <w:link w:val="Heading7"/>
    <w:uiPriority w:val="12"/>
    <w:semiHidden/>
    <w:rsid w:val="006D0BF3"/>
    <w:rPr>
      <w:rFonts w:asciiTheme="majorHAnsi" w:eastAsiaTheme="majorEastAsia" w:hAnsiTheme="majorHAnsi" w:cstheme="majorBidi"/>
      <w:i/>
      <w:iCs/>
      <w:color w:val="004962" w:themeColor="accent1" w:themeShade="7F"/>
    </w:rPr>
  </w:style>
  <w:style w:type="character" w:customStyle="1" w:styleId="Heading8Char">
    <w:name w:val="Heading 8 Char"/>
    <w:basedOn w:val="DefaultParagraphFont"/>
    <w:link w:val="Heading8"/>
    <w:uiPriority w:val="12"/>
    <w:semiHidden/>
    <w:rsid w:val="006D0BF3"/>
    <w:rPr>
      <w:rFonts w:asciiTheme="majorHAnsi" w:eastAsiaTheme="majorEastAsia" w:hAnsiTheme="majorHAnsi" w:cstheme="majorBidi"/>
      <w:color w:val="4A5261" w:themeColor="text1" w:themeTint="D8"/>
      <w:sz w:val="21"/>
      <w:szCs w:val="21"/>
    </w:rPr>
  </w:style>
  <w:style w:type="character" w:customStyle="1" w:styleId="Heading9Char">
    <w:name w:val="Heading 9 Char"/>
    <w:basedOn w:val="DefaultParagraphFont"/>
    <w:link w:val="Heading9"/>
    <w:uiPriority w:val="12"/>
    <w:semiHidden/>
    <w:rsid w:val="006D0BF3"/>
    <w:rPr>
      <w:rFonts w:asciiTheme="majorHAnsi" w:eastAsiaTheme="majorEastAsia" w:hAnsiTheme="majorHAnsi" w:cstheme="majorBidi"/>
      <w:i/>
      <w:iCs/>
      <w:color w:val="4A5261" w:themeColor="text1" w:themeTint="D8"/>
      <w:sz w:val="21"/>
      <w:szCs w:val="21"/>
    </w:rPr>
  </w:style>
  <w:style w:type="paragraph" w:customStyle="1" w:styleId="ApxHeading1">
    <w:name w:val="Apx Heading 1"/>
    <w:basedOn w:val="Heading1"/>
    <w:next w:val="USBodyText"/>
    <w:uiPriority w:val="13"/>
    <w:rsid w:val="00D454F0"/>
    <w:pPr>
      <w:numPr>
        <w:numId w:val="5"/>
      </w:numPr>
      <w:outlineLvl w:val="5"/>
    </w:pPr>
    <w:rPr>
      <w:color w:val="0094C5" w:themeColor="accent1"/>
    </w:rPr>
  </w:style>
  <w:style w:type="paragraph" w:customStyle="1" w:styleId="ApxHeading2">
    <w:name w:val="Apx Heading 2"/>
    <w:basedOn w:val="USBodyText"/>
    <w:next w:val="USBodyText"/>
    <w:uiPriority w:val="13"/>
    <w:rsid w:val="00D454F0"/>
    <w:pPr>
      <w:keepNext/>
      <w:keepLines/>
      <w:numPr>
        <w:ilvl w:val="1"/>
        <w:numId w:val="5"/>
      </w:numPr>
      <w:spacing w:before="360" w:after="80" w:line="320" w:lineRule="atLeast"/>
      <w:outlineLvl w:val="6"/>
    </w:pPr>
    <w:rPr>
      <w:b/>
      <w:color w:val="0094C5" w:themeColor="accent1"/>
      <w:sz w:val="26"/>
    </w:rPr>
  </w:style>
  <w:style w:type="paragraph" w:customStyle="1" w:styleId="ApxHeading3">
    <w:name w:val="Apx Heading 3"/>
    <w:basedOn w:val="USBodyText"/>
    <w:next w:val="USBodyText"/>
    <w:uiPriority w:val="13"/>
    <w:rsid w:val="00D454F0"/>
    <w:pPr>
      <w:keepNext/>
      <w:keepLines/>
      <w:numPr>
        <w:ilvl w:val="2"/>
        <w:numId w:val="5"/>
      </w:numPr>
      <w:spacing w:before="260" w:line="300" w:lineRule="atLeast"/>
      <w:outlineLvl w:val="7"/>
    </w:pPr>
    <w:rPr>
      <w:b/>
      <w:color w:val="0094C5" w:themeColor="accent1"/>
      <w:sz w:val="24"/>
    </w:rPr>
  </w:style>
  <w:style w:type="paragraph" w:customStyle="1" w:styleId="ApxHeading4">
    <w:name w:val="Apx Heading 4"/>
    <w:basedOn w:val="USBodyText"/>
    <w:next w:val="USBodyText"/>
    <w:uiPriority w:val="13"/>
    <w:rsid w:val="007B14FD"/>
    <w:pPr>
      <w:keepNext/>
      <w:keepLines/>
      <w:spacing w:before="200" w:after="40" w:line="320" w:lineRule="atLeast"/>
      <w:outlineLvl w:val="8"/>
    </w:pPr>
    <w:rPr>
      <w:b/>
      <w:color w:val="0094C5" w:themeColor="accent1"/>
      <w:sz w:val="24"/>
    </w:rPr>
  </w:style>
  <w:style w:type="paragraph" w:customStyle="1" w:styleId="ApxHeading5">
    <w:name w:val="Apx Heading 5"/>
    <w:basedOn w:val="USBodyText"/>
    <w:next w:val="USBodyText"/>
    <w:uiPriority w:val="13"/>
    <w:rsid w:val="007B14FD"/>
    <w:pPr>
      <w:keepNext/>
      <w:keepLines/>
      <w:spacing w:before="160" w:after="0" w:line="300" w:lineRule="atLeast"/>
    </w:pPr>
    <w:rPr>
      <w:b/>
      <w:color w:val="30353F"/>
    </w:rPr>
  </w:style>
  <w:style w:type="table" w:styleId="TableGridLight">
    <w:name w:val="Grid Table Light"/>
    <w:basedOn w:val="TableNormal"/>
    <w:uiPriority w:val="40"/>
    <w:rsid w:val="00916CFA"/>
    <w:pPr>
      <w:spacing w:after="0" w:line="240" w:lineRule="auto"/>
    </w:pPr>
    <w:tblPr>
      <w:tblInd w:w="851"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USPlaceholder">
    <w:name w:val="US Placeholder"/>
    <w:basedOn w:val="Normal"/>
    <w:uiPriority w:val="45"/>
    <w:rsid w:val="002B7C24"/>
    <w:pPr>
      <w:keepNext/>
      <w:spacing w:after="0" w:line="240" w:lineRule="auto"/>
      <w:ind w:left="851"/>
    </w:pPr>
    <w:rPr>
      <w:noProof/>
    </w:rPr>
  </w:style>
  <w:style w:type="paragraph" w:customStyle="1" w:styleId="USNotesHeading">
    <w:name w:val="US Notes (Heading)"/>
    <w:basedOn w:val="TSTableNormal1"/>
    <w:uiPriority w:val="45"/>
    <w:rsid w:val="00A16BDB"/>
    <w:pPr>
      <w:keepNext/>
      <w:keepLines/>
      <w:spacing w:before="120"/>
      <w:ind w:left="851"/>
    </w:pPr>
    <w:rPr>
      <w:b/>
    </w:rPr>
  </w:style>
  <w:style w:type="paragraph" w:styleId="BalloonText">
    <w:name w:val="Balloon Text"/>
    <w:basedOn w:val="Normal"/>
    <w:link w:val="BalloonTextChar"/>
    <w:uiPriority w:val="99"/>
    <w:semiHidden/>
    <w:unhideWhenUsed/>
    <w:rsid w:val="0063151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31510"/>
    <w:rPr>
      <w:rFonts w:ascii="Segoe UI" w:hAnsi="Segoe UI" w:cs="Segoe UI"/>
      <w:sz w:val="18"/>
      <w:szCs w:val="18"/>
    </w:rPr>
  </w:style>
  <w:style w:type="paragraph" w:customStyle="1" w:styleId="CoverTitle">
    <w:name w:val="Cover Title"/>
    <w:basedOn w:val="Normal"/>
    <w:next w:val="Normal"/>
    <w:uiPriority w:val="54"/>
    <w:rsid w:val="006D0BF3"/>
    <w:pPr>
      <w:keepNext/>
      <w:spacing w:before="1200" w:line="620" w:lineRule="atLeast"/>
    </w:pPr>
    <w:rPr>
      <w:b/>
      <w:color w:val="0094C5" w:themeColor="accent1"/>
      <w:sz w:val="56"/>
    </w:rPr>
  </w:style>
  <w:style w:type="paragraph" w:customStyle="1" w:styleId="CoverSubheading">
    <w:name w:val="Cover Subheading"/>
    <w:basedOn w:val="CoverSubTitle"/>
    <w:uiPriority w:val="54"/>
    <w:rsid w:val="00F06449"/>
    <w:pPr>
      <w:spacing w:after="60" w:line="300" w:lineRule="atLeast"/>
    </w:pPr>
    <w:rPr>
      <w:color w:val="30353F"/>
      <w:sz w:val="24"/>
    </w:rPr>
  </w:style>
  <w:style w:type="paragraph" w:customStyle="1" w:styleId="CoverSubTitle">
    <w:name w:val="Cover SubTitle"/>
    <w:basedOn w:val="Normal"/>
    <w:uiPriority w:val="54"/>
    <w:rsid w:val="006D0BF3"/>
    <w:pPr>
      <w:keepNext/>
      <w:spacing w:before="120" w:after="480" w:line="460" w:lineRule="atLeast"/>
    </w:pPr>
    <w:rPr>
      <w:b/>
      <w:sz w:val="40"/>
    </w:rPr>
  </w:style>
  <w:style w:type="paragraph" w:customStyle="1" w:styleId="CoverSubsubheading">
    <w:name w:val="Cover Sub subheading"/>
    <w:basedOn w:val="CoverSubheading"/>
    <w:uiPriority w:val="54"/>
    <w:rsid w:val="004D53BA"/>
    <w:pPr>
      <w:spacing w:after="0" w:line="260" w:lineRule="atLeast"/>
    </w:pPr>
    <w:rPr>
      <w:b w:val="0"/>
      <w:sz w:val="20"/>
    </w:rPr>
  </w:style>
  <w:style w:type="paragraph" w:customStyle="1" w:styleId="HeadingContents">
    <w:name w:val="Heading Contents"/>
    <w:basedOn w:val="Heading1"/>
    <w:uiPriority w:val="55"/>
    <w:rsid w:val="00DE7FA6"/>
    <w:pPr>
      <w:pageBreakBefore/>
      <w:numPr>
        <w:numId w:val="0"/>
      </w:numPr>
      <w:spacing w:after="220"/>
      <w:outlineLvl w:val="9"/>
    </w:pPr>
  </w:style>
  <w:style w:type="paragraph" w:styleId="TOC1">
    <w:name w:val="toc 1"/>
    <w:basedOn w:val="Normal"/>
    <w:next w:val="Normal"/>
    <w:uiPriority w:val="39"/>
    <w:rsid w:val="004F160B"/>
    <w:pPr>
      <w:tabs>
        <w:tab w:val="left" w:pos="567"/>
        <w:tab w:val="right" w:leader="dot" w:pos="9072"/>
      </w:tabs>
      <w:spacing w:before="120" w:after="0"/>
      <w:ind w:left="567" w:right="567" w:hanging="567"/>
    </w:pPr>
  </w:style>
  <w:style w:type="paragraph" w:styleId="TOC2">
    <w:name w:val="toc 2"/>
    <w:basedOn w:val="Normal"/>
    <w:next w:val="Normal"/>
    <w:uiPriority w:val="39"/>
    <w:rsid w:val="004F160B"/>
    <w:pPr>
      <w:tabs>
        <w:tab w:val="left" w:pos="1134"/>
        <w:tab w:val="right" w:leader="dot" w:pos="9072"/>
      </w:tabs>
      <w:spacing w:after="0"/>
      <w:ind w:left="1134" w:right="567" w:hanging="567"/>
    </w:pPr>
  </w:style>
  <w:style w:type="paragraph" w:styleId="TOC3">
    <w:name w:val="toc 3"/>
    <w:basedOn w:val="Normal"/>
    <w:next w:val="Normal"/>
    <w:uiPriority w:val="39"/>
    <w:rsid w:val="004D781B"/>
    <w:pPr>
      <w:tabs>
        <w:tab w:val="left" w:pos="1843"/>
        <w:tab w:val="right" w:leader="dot" w:pos="9072"/>
      </w:tabs>
      <w:spacing w:after="0"/>
      <w:ind w:left="1843" w:right="567" w:hanging="709"/>
    </w:pPr>
  </w:style>
  <w:style w:type="character" w:styleId="Hyperlink">
    <w:name w:val="Hyperlink"/>
    <w:basedOn w:val="DefaultParagraphFont"/>
    <w:uiPriority w:val="99"/>
    <w:rsid w:val="00CC1FF1"/>
    <w:rPr>
      <w:color w:val="0094C5"/>
      <w:u w:val="single"/>
    </w:rPr>
  </w:style>
  <w:style w:type="paragraph" w:styleId="TOC4">
    <w:name w:val="toc 4"/>
    <w:basedOn w:val="Normal"/>
    <w:next w:val="Normal"/>
    <w:uiPriority w:val="39"/>
    <w:rsid w:val="001F323D"/>
    <w:pPr>
      <w:tabs>
        <w:tab w:val="right" w:leader="dot" w:pos="9072"/>
      </w:tabs>
      <w:spacing w:after="0"/>
      <w:ind w:left="1843" w:right="567"/>
    </w:pPr>
  </w:style>
  <w:style w:type="paragraph" w:styleId="TOC5">
    <w:name w:val="toc 5"/>
    <w:basedOn w:val="Normal"/>
    <w:next w:val="Normal"/>
    <w:uiPriority w:val="39"/>
    <w:rsid w:val="001F323D"/>
    <w:pPr>
      <w:tabs>
        <w:tab w:val="right" w:leader="dot" w:pos="9072"/>
      </w:tabs>
      <w:spacing w:after="0"/>
      <w:ind w:left="2268" w:right="567"/>
    </w:pPr>
  </w:style>
  <w:style w:type="paragraph" w:styleId="TOC8">
    <w:name w:val="toc 8"/>
    <w:basedOn w:val="TOC3"/>
    <w:next w:val="Normal"/>
    <w:uiPriority w:val="39"/>
    <w:semiHidden/>
    <w:rsid w:val="004761CC"/>
  </w:style>
  <w:style w:type="paragraph" w:styleId="TOC9">
    <w:name w:val="toc 9"/>
    <w:basedOn w:val="TOC4"/>
    <w:next w:val="Normal"/>
    <w:uiPriority w:val="39"/>
    <w:semiHidden/>
    <w:rsid w:val="00780A71"/>
    <w:pPr>
      <w:tabs>
        <w:tab w:val="left" w:leader="dot" w:pos="1701"/>
      </w:tabs>
      <w:ind w:left="2694" w:hanging="851"/>
    </w:pPr>
  </w:style>
  <w:style w:type="paragraph" w:styleId="TableofFigures">
    <w:name w:val="table of figures"/>
    <w:basedOn w:val="Normal"/>
    <w:next w:val="Normal"/>
    <w:uiPriority w:val="99"/>
    <w:unhideWhenUsed/>
    <w:rsid w:val="00D95F03"/>
    <w:pPr>
      <w:tabs>
        <w:tab w:val="left" w:pos="1049"/>
        <w:tab w:val="right" w:leader="dot" w:pos="9072"/>
      </w:tabs>
      <w:spacing w:after="0"/>
      <w:ind w:left="1049" w:right="567" w:hanging="1049"/>
    </w:pPr>
  </w:style>
  <w:style w:type="paragraph" w:styleId="TOC7">
    <w:name w:val="toc 7"/>
    <w:basedOn w:val="TOC2"/>
    <w:next w:val="Normal"/>
    <w:uiPriority w:val="39"/>
    <w:semiHidden/>
    <w:rsid w:val="004761CC"/>
  </w:style>
  <w:style w:type="paragraph" w:styleId="TOC6">
    <w:name w:val="toc 6"/>
    <w:basedOn w:val="TOC1"/>
    <w:next w:val="Normal"/>
    <w:uiPriority w:val="39"/>
    <w:rsid w:val="004761CC"/>
    <w:pPr>
      <w:tabs>
        <w:tab w:val="clear" w:pos="9072"/>
        <w:tab w:val="right" w:leader="dot" w:pos="9060"/>
      </w:tabs>
    </w:pPr>
  </w:style>
  <w:style w:type="table" w:styleId="PlainTable3">
    <w:name w:val="Plain Table 3"/>
    <w:basedOn w:val="TableNormal"/>
    <w:uiPriority w:val="43"/>
    <w:rsid w:val="00916CFA"/>
    <w:pPr>
      <w:spacing w:after="0" w:line="240" w:lineRule="auto"/>
    </w:pPr>
    <w:tblPr>
      <w:tblStyleRowBandSize w:val="1"/>
      <w:tblStyleColBandSize w:val="1"/>
      <w:tblInd w:w="851" w:type="dxa"/>
    </w:tblPr>
    <w:tblStylePr w:type="firstRow">
      <w:rPr>
        <w:b/>
        <w:bCs/>
        <w:caps/>
      </w:rPr>
      <w:tblPr/>
      <w:tcPr>
        <w:tcBorders>
          <w:bottom w:val="single" w:sz="4" w:space="0" w:color="8D96A8"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8D96A8"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USNote">
    <w:name w:val="US Note"/>
    <w:basedOn w:val="USNotes"/>
    <w:uiPriority w:val="45"/>
    <w:rsid w:val="004726FD"/>
    <w:pPr>
      <w:numPr>
        <w:numId w:val="0"/>
      </w:numPr>
      <w:ind w:left="851"/>
    </w:pPr>
  </w:style>
  <w:style w:type="paragraph" w:customStyle="1" w:styleId="USPullQuoteCharcoal">
    <w:name w:val="US Pull Quote Charcoal"/>
    <w:basedOn w:val="Normal"/>
    <w:uiPriority w:val="18"/>
    <w:rsid w:val="00EC22B7"/>
    <w:pPr>
      <w:pBdr>
        <w:top w:val="single" w:sz="4" w:space="14" w:color="auto"/>
        <w:bottom w:val="single" w:sz="4" w:space="14" w:color="auto"/>
      </w:pBdr>
      <w:spacing w:before="360" w:after="360" w:line="340" w:lineRule="atLeast"/>
      <w:ind w:left="851"/>
    </w:pPr>
    <w:rPr>
      <w:b/>
      <w:color w:val="30353F"/>
      <w:sz w:val="28"/>
    </w:rPr>
  </w:style>
  <w:style w:type="table" w:styleId="GridTable4-Accent1">
    <w:name w:val="Grid Table 4 Accent 1"/>
    <w:basedOn w:val="TableNormal"/>
    <w:uiPriority w:val="49"/>
    <w:rsid w:val="008B2D18"/>
    <w:pPr>
      <w:spacing w:after="0" w:line="240" w:lineRule="auto"/>
    </w:pPr>
    <w:tblPr>
      <w:tblStyleRowBandSize w:val="1"/>
      <w:tblStyleColBandSize w:val="1"/>
      <w:tblBorders>
        <w:top w:val="single" w:sz="4" w:space="0" w:color="43CFFF" w:themeColor="accent1" w:themeTint="99"/>
        <w:left w:val="single" w:sz="4" w:space="0" w:color="43CFFF" w:themeColor="accent1" w:themeTint="99"/>
        <w:bottom w:val="single" w:sz="4" w:space="0" w:color="43CFFF" w:themeColor="accent1" w:themeTint="99"/>
        <w:right w:val="single" w:sz="4" w:space="0" w:color="43CFFF" w:themeColor="accent1" w:themeTint="99"/>
        <w:insideH w:val="single" w:sz="4" w:space="0" w:color="43CFFF" w:themeColor="accent1" w:themeTint="99"/>
        <w:insideV w:val="single" w:sz="4" w:space="0" w:color="43CFFF" w:themeColor="accent1" w:themeTint="99"/>
      </w:tblBorders>
    </w:tblPr>
    <w:tblStylePr w:type="firstRow">
      <w:rPr>
        <w:b/>
        <w:bCs/>
        <w:color w:val="FFFFFF" w:themeColor="background1"/>
      </w:rPr>
      <w:tblPr/>
      <w:tcPr>
        <w:tcBorders>
          <w:top w:val="single" w:sz="4" w:space="0" w:color="0094C5" w:themeColor="accent1"/>
          <w:left w:val="single" w:sz="4" w:space="0" w:color="0094C5" w:themeColor="accent1"/>
          <w:bottom w:val="single" w:sz="4" w:space="0" w:color="0094C5" w:themeColor="accent1"/>
          <w:right w:val="single" w:sz="4" w:space="0" w:color="0094C5" w:themeColor="accent1"/>
          <w:insideH w:val="nil"/>
          <w:insideV w:val="nil"/>
        </w:tcBorders>
        <w:shd w:val="clear" w:color="auto" w:fill="0094C5" w:themeFill="accent1"/>
      </w:tcPr>
    </w:tblStylePr>
    <w:tblStylePr w:type="lastRow">
      <w:rPr>
        <w:b/>
        <w:bCs/>
      </w:rPr>
      <w:tblPr/>
      <w:tcPr>
        <w:tcBorders>
          <w:top w:val="double" w:sz="4" w:space="0" w:color="0094C5" w:themeColor="accent1"/>
        </w:tcBorders>
      </w:tcPr>
    </w:tblStylePr>
    <w:tblStylePr w:type="firstCol">
      <w:rPr>
        <w:b/>
        <w:bCs/>
      </w:rPr>
    </w:tblStylePr>
    <w:tblStylePr w:type="lastCol">
      <w:rPr>
        <w:b/>
        <w:bCs/>
      </w:rPr>
    </w:tblStylePr>
    <w:tblStylePr w:type="band1Vert">
      <w:tblPr/>
      <w:tcPr>
        <w:shd w:val="clear" w:color="auto" w:fill="C0EFFF" w:themeFill="accent1" w:themeFillTint="33"/>
      </w:tcPr>
    </w:tblStylePr>
    <w:tblStylePr w:type="band1Horz">
      <w:tblPr/>
      <w:tcPr>
        <w:shd w:val="clear" w:color="auto" w:fill="C0EFFF" w:themeFill="accent1" w:themeFillTint="33"/>
      </w:tcPr>
    </w:tblStylePr>
  </w:style>
  <w:style w:type="paragraph" w:customStyle="1" w:styleId="TSTableHeadingBlack-TopRow">
    <w:name w:val="TS Table Heading Black - Top Row"/>
    <w:basedOn w:val="TSTableNormal1"/>
    <w:uiPriority w:val="41"/>
    <w:rsid w:val="00E457E0"/>
    <w:pPr>
      <w:keepNext/>
      <w:keepLines/>
      <w:spacing w:before="80" w:after="80"/>
    </w:pPr>
    <w:rPr>
      <w:b/>
    </w:rPr>
  </w:style>
  <w:style w:type="character" w:styleId="FollowedHyperlink">
    <w:name w:val="FollowedHyperlink"/>
    <w:basedOn w:val="DefaultParagraphFont"/>
    <w:uiPriority w:val="19"/>
    <w:rsid w:val="00CC1FF1"/>
    <w:rPr>
      <w:color w:val="81DFFF" w:themeColor="accent1" w:themeTint="66"/>
      <w:u w:val="single"/>
    </w:rPr>
  </w:style>
  <w:style w:type="paragraph" w:customStyle="1" w:styleId="USWhiteSpaceAfterTable">
    <w:name w:val="US White Space After Table"/>
    <w:basedOn w:val="USWhiteSpace"/>
    <w:next w:val="USBodyText"/>
    <w:uiPriority w:val="45"/>
    <w:rsid w:val="00C12561"/>
    <w:pPr>
      <w:spacing w:after="240"/>
    </w:pPr>
  </w:style>
  <w:style w:type="character" w:customStyle="1" w:styleId="HyperlinkSourceTextReference">
    <w:name w:val="Hyperlink (Source Text Reference)"/>
    <w:basedOn w:val="DefaultParagraphFont"/>
    <w:uiPriority w:val="19"/>
    <w:semiHidden/>
    <w:rsid w:val="00EC22B7"/>
    <w:rPr>
      <w:noProof w:val="0"/>
      <w:color w:val="0094C5"/>
      <w:u w:val="single"/>
      <w:lang w:val="en-NZ"/>
    </w:rPr>
  </w:style>
  <w:style w:type="paragraph" w:customStyle="1" w:styleId="USPullQuoteBlue">
    <w:name w:val="US Pull Quote Blue"/>
    <w:basedOn w:val="Normal"/>
    <w:uiPriority w:val="18"/>
    <w:rsid w:val="00273D60"/>
    <w:pPr>
      <w:pBdr>
        <w:top w:val="single" w:sz="4" w:space="14" w:color="74C6C7"/>
        <w:bottom w:val="single" w:sz="4" w:space="14" w:color="74C6C7"/>
      </w:pBdr>
      <w:spacing w:before="360" w:after="360" w:line="340" w:lineRule="atLeast"/>
      <w:ind w:left="851"/>
    </w:pPr>
    <w:rPr>
      <w:b/>
      <w:color w:val="0094C5"/>
      <w:sz w:val="28"/>
    </w:rPr>
  </w:style>
  <w:style w:type="paragraph" w:customStyle="1" w:styleId="USWhiteSpaceBeforeTable">
    <w:name w:val="US White Space Before Table"/>
    <w:basedOn w:val="Normal"/>
    <w:uiPriority w:val="45"/>
    <w:rsid w:val="00C12561"/>
    <w:pPr>
      <w:keepNext/>
      <w:spacing w:after="240" w:line="240" w:lineRule="auto"/>
      <w:ind w:left="851"/>
    </w:pPr>
    <w:rPr>
      <w:sz w:val="12"/>
    </w:rPr>
  </w:style>
  <w:style w:type="table" w:styleId="GridTable1Light">
    <w:name w:val="Grid Table 1 Light"/>
    <w:basedOn w:val="TableNormal"/>
    <w:uiPriority w:val="46"/>
    <w:rsid w:val="00916CFA"/>
    <w:pPr>
      <w:spacing w:after="0" w:line="240" w:lineRule="auto"/>
    </w:pPr>
    <w:tblPr>
      <w:tblStyleRowBandSize w:val="1"/>
      <w:tblStyleColBandSize w:val="1"/>
      <w:tblInd w:w="851" w:type="dxa"/>
      <w:tblBorders>
        <w:top w:val="single" w:sz="4" w:space="0" w:color="A4ABBA" w:themeColor="text1" w:themeTint="66"/>
        <w:left w:val="single" w:sz="4" w:space="0" w:color="A4ABBA" w:themeColor="text1" w:themeTint="66"/>
        <w:bottom w:val="single" w:sz="4" w:space="0" w:color="A4ABBA" w:themeColor="text1" w:themeTint="66"/>
        <w:right w:val="single" w:sz="4" w:space="0" w:color="A4ABBA" w:themeColor="text1" w:themeTint="66"/>
        <w:insideH w:val="single" w:sz="4" w:space="0" w:color="A4ABBA" w:themeColor="text1" w:themeTint="66"/>
        <w:insideV w:val="single" w:sz="4" w:space="0" w:color="A4ABBA" w:themeColor="text1" w:themeTint="66"/>
      </w:tblBorders>
    </w:tblPr>
    <w:tblStylePr w:type="firstRow">
      <w:rPr>
        <w:b/>
        <w:bCs/>
      </w:rPr>
      <w:tblPr/>
      <w:tcPr>
        <w:tcBorders>
          <w:bottom w:val="single" w:sz="12" w:space="0" w:color="778197" w:themeColor="text1" w:themeTint="99"/>
        </w:tcBorders>
      </w:tcPr>
    </w:tblStylePr>
    <w:tblStylePr w:type="lastRow">
      <w:rPr>
        <w:b/>
        <w:bCs/>
      </w:rPr>
      <w:tblPr/>
      <w:tcPr>
        <w:tcBorders>
          <w:top w:val="double" w:sz="2" w:space="0" w:color="778197" w:themeColor="text1" w:themeTint="99"/>
        </w:tcBorders>
      </w:tcPr>
    </w:tblStylePr>
    <w:tblStylePr w:type="firstCol">
      <w:rPr>
        <w:b/>
        <w:bCs/>
      </w:rPr>
    </w:tblStylePr>
    <w:tblStylePr w:type="lastCol">
      <w:rPr>
        <w:b/>
        <w:bCs/>
      </w:rPr>
    </w:tblStylePr>
  </w:style>
  <w:style w:type="table" w:styleId="GridTable5Dark">
    <w:name w:val="Grid Table 5 Dark"/>
    <w:basedOn w:val="TableNormal"/>
    <w:uiPriority w:val="50"/>
    <w:rsid w:val="0069298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1D5D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0353F"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0353F"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0353F"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0353F" w:themeFill="text1"/>
      </w:tcPr>
    </w:tblStylePr>
    <w:tblStylePr w:type="band1Vert">
      <w:tblPr/>
      <w:tcPr>
        <w:shd w:val="clear" w:color="auto" w:fill="A4ABBA" w:themeFill="text1" w:themeFillTint="66"/>
      </w:tcPr>
    </w:tblStylePr>
    <w:tblStylePr w:type="band1Horz">
      <w:tblPr/>
      <w:tcPr>
        <w:shd w:val="clear" w:color="auto" w:fill="A4ABBA" w:themeFill="text1" w:themeFillTint="66"/>
      </w:tcPr>
    </w:tblStylePr>
  </w:style>
  <w:style w:type="table" w:styleId="GridTable3">
    <w:name w:val="Grid Table 3"/>
    <w:basedOn w:val="TableNormal"/>
    <w:uiPriority w:val="48"/>
    <w:rsid w:val="0069298C"/>
    <w:pPr>
      <w:spacing w:after="0" w:line="240" w:lineRule="auto"/>
    </w:pPr>
    <w:tblPr>
      <w:tblStyleRowBandSize w:val="1"/>
      <w:tblStyleColBandSize w:val="1"/>
      <w:tblBorders>
        <w:top w:val="single" w:sz="4" w:space="0" w:color="778197" w:themeColor="text1" w:themeTint="99"/>
        <w:left w:val="single" w:sz="4" w:space="0" w:color="778197" w:themeColor="text1" w:themeTint="99"/>
        <w:bottom w:val="single" w:sz="4" w:space="0" w:color="778197" w:themeColor="text1" w:themeTint="99"/>
        <w:right w:val="single" w:sz="4" w:space="0" w:color="778197" w:themeColor="text1" w:themeTint="99"/>
        <w:insideH w:val="single" w:sz="4" w:space="0" w:color="778197" w:themeColor="text1" w:themeTint="99"/>
        <w:insideV w:val="single" w:sz="4" w:space="0" w:color="778197"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1D5DC" w:themeFill="text1" w:themeFillTint="33"/>
      </w:tcPr>
    </w:tblStylePr>
    <w:tblStylePr w:type="band1Horz">
      <w:tblPr/>
      <w:tcPr>
        <w:shd w:val="clear" w:color="auto" w:fill="D1D5DC" w:themeFill="text1" w:themeFillTint="33"/>
      </w:tcPr>
    </w:tblStylePr>
    <w:tblStylePr w:type="neCell">
      <w:tblPr/>
      <w:tcPr>
        <w:tcBorders>
          <w:bottom w:val="single" w:sz="4" w:space="0" w:color="778197" w:themeColor="text1" w:themeTint="99"/>
        </w:tcBorders>
      </w:tcPr>
    </w:tblStylePr>
    <w:tblStylePr w:type="nwCell">
      <w:tblPr/>
      <w:tcPr>
        <w:tcBorders>
          <w:bottom w:val="single" w:sz="4" w:space="0" w:color="778197" w:themeColor="text1" w:themeTint="99"/>
        </w:tcBorders>
      </w:tcPr>
    </w:tblStylePr>
    <w:tblStylePr w:type="seCell">
      <w:tblPr/>
      <w:tcPr>
        <w:tcBorders>
          <w:top w:val="single" w:sz="4" w:space="0" w:color="778197" w:themeColor="text1" w:themeTint="99"/>
        </w:tcBorders>
      </w:tcPr>
    </w:tblStylePr>
    <w:tblStylePr w:type="swCell">
      <w:tblPr/>
      <w:tcPr>
        <w:tcBorders>
          <w:top w:val="single" w:sz="4" w:space="0" w:color="778197" w:themeColor="text1" w:themeTint="99"/>
        </w:tcBorders>
      </w:tcPr>
    </w:tblStylePr>
  </w:style>
  <w:style w:type="table" w:styleId="GridTable2">
    <w:name w:val="Grid Table 2"/>
    <w:basedOn w:val="TableNormal"/>
    <w:uiPriority w:val="47"/>
    <w:rsid w:val="00225D24"/>
    <w:pPr>
      <w:spacing w:after="0" w:line="240" w:lineRule="auto"/>
    </w:pPr>
    <w:tblPr>
      <w:tblStyleRowBandSize w:val="1"/>
      <w:tblStyleColBandSize w:val="1"/>
      <w:tblBorders>
        <w:top w:val="single" w:sz="2" w:space="0" w:color="778197" w:themeColor="text1" w:themeTint="99"/>
        <w:bottom w:val="single" w:sz="2" w:space="0" w:color="778197" w:themeColor="text1" w:themeTint="99"/>
        <w:insideH w:val="single" w:sz="2" w:space="0" w:color="778197" w:themeColor="text1" w:themeTint="99"/>
        <w:insideV w:val="single" w:sz="2" w:space="0" w:color="778197" w:themeColor="text1" w:themeTint="99"/>
      </w:tblBorders>
    </w:tblPr>
    <w:tblStylePr w:type="firstRow">
      <w:rPr>
        <w:b/>
        <w:bCs/>
      </w:rPr>
      <w:tblPr/>
      <w:tcPr>
        <w:tcBorders>
          <w:top w:val="nil"/>
          <w:bottom w:val="single" w:sz="12" w:space="0" w:color="778197" w:themeColor="text1" w:themeTint="99"/>
          <w:insideH w:val="nil"/>
          <w:insideV w:val="nil"/>
        </w:tcBorders>
        <w:shd w:val="clear" w:color="auto" w:fill="FFFFFF" w:themeFill="background1"/>
      </w:tcPr>
    </w:tblStylePr>
    <w:tblStylePr w:type="lastRow">
      <w:rPr>
        <w:b/>
        <w:bCs/>
      </w:rPr>
      <w:tblPr/>
      <w:tcPr>
        <w:tcBorders>
          <w:top w:val="double" w:sz="2" w:space="0" w:color="778197"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1D5DC" w:themeFill="text1" w:themeFillTint="33"/>
      </w:tcPr>
    </w:tblStylePr>
    <w:tblStylePr w:type="band1Horz">
      <w:tblPr/>
      <w:tcPr>
        <w:shd w:val="clear" w:color="auto" w:fill="D1D5DC" w:themeFill="text1" w:themeFillTint="33"/>
      </w:tcPr>
    </w:tblStylePr>
  </w:style>
  <w:style w:type="table" w:styleId="GridTable6Colorful">
    <w:name w:val="Grid Table 6 Colorful"/>
    <w:basedOn w:val="TableNormal"/>
    <w:uiPriority w:val="51"/>
    <w:rsid w:val="00225D24"/>
    <w:pPr>
      <w:spacing w:after="0" w:line="240" w:lineRule="auto"/>
    </w:pPr>
    <w:rPr>
      <w:color w:val="30353F" w:themeColor="text1"/>
    </w:rPr>
    <w:tblPr>
      <w:tblStyleRowBandSize w:val="1"/>
      <w:tblStyleColBandSize w:val="1"/>
      <w:tblBorders>
        <w:top w:val="single" w:sz="4" w:space="0" w:color="778197" w:themeColor="text1" w:themeTint="99"/>
        <w:left w:val="single" w:sz="4" w:space="0" w:color="778197" w:themeColor="text1" w:themeTint="99"/>
        <w:bottom w:val="single" w:sz="4" w:space="0" w:color="778197" w:themeColor="text1" w:themeTint="99"/>
        <w:right w:val="single" w:sz="4" w:space="0" w:color="778197" w:themeColor="text1" w:themeTint="99"/>
        <w:insideH w:val="single" w:sz="4" w:space="0" w:color="778197" w:themeColor="text1" w:themeTint="99"/>
        <w:insideV w:val="single" w:sz="4" w:space="0" w:color="778197" w:themeColor="text1" w:themeTint="99"/>
      </w:tblBorders>
    </w:tblPr>
    <w:tblStylePr w:type="firstRow">
      <w:rPr>
        <w:b/>
        <w:bCs/>
      </w:rPr>
      <w:tblPr/>
      <w:tcPr>
        <w:tcBorders>
          <w:bottom w:val="single" w:sz="12" w:space="0" w:color="778197" w:themeColor="text1" w:themeTint="99"/>
        </w:tcBorders>
      </w:tcPr>
    </w:tblStylePr>
    <w:tblStylePr w:type="lastRow">
      <w:rPr>
        <w:b/>
        <w:bCs/>
      </w:rPr>
      <w:tblPr/>
      <w:tcPr>
        <w:tcBorders>
          <w:top w:val="double" w:sz="4" w:space="0" w:color="778197" w:themeColor="text1" w:themeTint="99"/>
        </w:tcBorders>
      </w:tcPr>
    </w:tblStylePr>
    <w:tblStylePr w:type="firstCol">
      <w:rPr>
        <w:b/>
        <w:bCs/>
      </w:rPr>
    </w:tblStylePr>
    <w:tblStylePr w:type="lastCol">
      <w:rPr>
        <w:b/>
        <w:bCs/>
      </w:rPr>
    </w:tblStylePr>
    <w:tblStylePr w:type="band1Vert">
      <w:tblPr/>
      <w:tcPr>
        <w:shd w:val="clear" w:color="auto" w:fill="D1D5DC" w:themeFill="text1" w:themeFillTint="33"/>
      </w:tcPr>
    </w:tblStylePr>
    <w:tblStylePr w:type="band1Horz">
      <w:tblPr/>
      <w:tcPr>
        <w:shd w:val="clear" w:color="auto" w:fill="D1D5DC" w:themeFill="text1" w:themeFillTint="33"/>
      </w:tcPr>
    </w:tblStylePr>
  </w:style>
  <w:style w:type="table" w:styleId="GridTable4">
    <w:name w:val="Grid Table 4"/>
    <w:basedOn w:val="TableNormal"/>
    <w:uiPriority w:val="49"/>
    <w:rsid w:val="00225D24"/>
    <w:pPr>
      <w:spacing w:after="0" w:line="240" w:lineRule="auto"/>
    </w:pPr>
    <w:tblPr>
      <w:tblStyleRowBandSize w:val="1"/>
      <w:tblStyleColBandSize w:val="1"/>
      <w:tblBorders>
        <w:top w:val="single" w:sz="4" w:space="0" w:color="778197" w:themeColor="text1" w:themeTint="99"/>
        <w:left w:val="single" w:sz="4" w:space="0" w:color="778197" w:themeColor="text1" w:themeTint="99"/>
        <w:bottom w:val="single" w:sz="4" w:space="0" w:color="778197" w:themeColor="text1" w:themeTint="99"/>
        <w:right w:val="single" w:sz="4" w:space="0" w:color="778197" w:themeColor="text1" w:themeTint="99"/>
        <w:insideH w:val="single" w:sz="4" w:space="0" w:color="778197" w:themeColor="text1" w:themeTint="99"/>
        <w:insideV w:val="single" w:sz="4" w:space="0" w:color="778197" w:themeColor="text1" w:themeTint="99"/>
      </w:tblBorders>
    </w:tblPr>
    <w:tblStylePr w:type="firstRow">
      <w:rPr>
        <w:b/>
        <w:bCs/>
        <w:color w:val="FFFFFF" w:themeColor="background1"/>
      </w:rPr>
      <w:tblPr/>
      <w:tcPr>
        <w:tcBorders>
          <w:top w:val="single" w:sz="4" w:space="0" w:color="30353F" w:themeColor="text1"/>
          <w:left w:val="single" w:sz="4" w:space="0" w:color="30353F" w:themeColor="text1"/>
          <w:bottom w:val="single" w:sz="4" w:space="0" w:color="30353F" w:themeColor="text1"/>
          <w:right w:val="single" w:sz="4" w:space="0" w:color="30353F" w:themeColor="text1"/>
          <w:insideH w:val="nil"/>
          <w:insideV w:val="nil"/>
        </w:tcBorders>
        <w:shd w:val="clear" w:color="auto" w:fill="30353F" w:themeFill="text1"/>
      </w:tcPr>
    </w:tblStylePr>
    <w:tblStylePr w:type="lastRow">
      <w:rPr>
        <w:b/>
        <w:bCs/>
      </w:rPr>
      <w:tblPr/>
      <w:tcPr>
        <w:tcBorders>
          <w:top w:val="double" w:sz="4" w:space="0" w:color="30353F" w:themeColor="text1"/>
        </w:tcBorders>
      </w:tcPr>
    </w:tblStylePr>
    <w:tblStylePr w:type="firstCol">
      <w:rPr>
        <w:b/>
        <w:bCs/>
      </w:rPr>
    </w:tblStylePr>
    <w:tblStylePr w:type="lastCol">
      <w:rPr>
        <w:b/>
        <w:bCs/>
      </w:rPr>
    </w:tblStylePr>
    <w:tblStylePr w:type="band1Vert">
      <w:tblPr/>
      <w:tcPr>
        <w:shd w:val="clear" w:color="auto" w:fill="D1D5DC" w:themeFill="text1" w:themeFillTint="33"/>
      </w:tcPr>
    </w:tblStylePr>
    <w:tblStylePr w:type="band1Horz">
      <w:tblPr/>
      <w:tcPr>
        <w:shd w:val="clear" w:color="auto" w:fill="D1D5DC" w:themeFill="text1" w:themeFillTint="33"/>
      </w:tcPr>
    </w:tblStylePr>
  </w:style>
  <w:style w:type="paragraph" w:styleId="Bibliography">
    <w:name w:val="Bibliography"/>
    <w:basedOn w:val="TSBodyText"/>
    <w:uiPriority w:val="47"/>
    <w:rsid w:val="009F7454"/>
    <w:pPr>
      <w:spacing w:before="0" w:after="240" w:line="240" w:lineRule="atLeast"/>
      <w:ind w:left="720" w:hanging="720"/>
    </w:pPr>
    <w:rPr>
      <w:sz w:val="22"/>
    </w:rPr>
  </w:style>
  <w:style w:type="table" w:styleId="ColorfulGrid">
    <w:name w:val="Colorful Grid"/>
    <w:basedOn w:val="TableNormal"/>
    <w:uiPriority w:val="73"/>
    <w:semiHidden/>
    <w:unhideWhenUsed/>
    <w:rsid w:val="00DF245D"/>
    <w:pPr>
      <w:spacing w:after="0" w:line="240" w:lineRule="auto"/>
    </w:pPr>
    <w:rPr>
      <w:color w:val="30353F" w:themeColor="text1"/>
    </w:rPr>
    <w:tblPr>
      <w:tblStyleRowBandSize w:val="1"/>
      <w:tblStyleColBandSize w:val="1"/>
      <w:tblBorders>
        <w:insideH w:val="single" w:sz="4" w:space="0" w:color="FFFFFF" w:themeColor="background1"/>
      </w:tblBorders>
    </w:tblPr>
    <w:tcPr>
      <w:shd w:val="clear" w:color="auto" w:fill="D1D5DC" w:themeFill="text1" w:themeFillTint="33"/>
    </w:tcPr>
    <w:tblStylePr w:type="firstRow">
      <w:rPr>
        <w:b/>
        <w:bCs/>
      </w:rPr>
      <w:tblPr/>
      <w:tcPr>
        <w:shd w:val="clear" w:color="auto" w:fill="A4ABBA" w:themeFill="text1" w:themeFillTint="66"/>
      </w:tcPr>
    </w:tblStylePr>
    <w:tblStylePr w:type="lastRow">
      <w:rPr>
        <w:b/>
        <w:bCs/>
        <w:color w:val="30353F" w:themeColor="text1"/>
      </w:rPr>
      <w:tblPr/>
      <w:tcPr>
        <w:shd w:val="clear" w:color="auto" w:fill="A4ABBA" w:themeFill="text1" w:themeFillTint="66"/>
      </w:tcPr>
    </w:tblStylePr>
    <w:tblStylePr w:type="firstCol">
      <w:rPr>
        <w:color w:val="FFFFFF" w:themeColor="background1"/>
      </w:rPr>
      <w:tblPr/>
      <w:tcPr>
        <w:shd w:val="clear" w:color="auto" w:fill="24272F" w:themeFill="text1" w:themeFillShade="BF"/>
      </w:tcPr>
    </w:tblStylePr>
    <w:tblStylePr w:type="lastCol">
      <w:rPr>
        <w:color w:val="FFFFFF" w:themeColor="background1"/>
      </w:rPr>
      <w:tblPr/>
      <w:tcPr>
        <w:shd w:val="clear" w:color="auto" w:fill="24272F" w:themeFill="text1" w:themeFillShade="BF"/>
      </w:tcPr>
    </w:tblStylePr>
    <w:tblStylePr w:type="band1Vert">
      <w:tblPr/>
      <w:tcPr>
        <w:shd w:val="clear" w:color="auto" w:fill="8E97A9" w:themeFill="text1" w:themeFillTint="7F"/>
      </w:tcPr>
    </w:tblStylePr>
    <w:tblStylePr w:type="band1Horz">
      <w:tblPr/>
      <w:tcPr>
        <w:shd w:val="clear" w:color="auto" w:fill="8E97A9" w:themeFill="text1" w:themeFillTint="7F"/>
      </w:tcPr>
    </w:tblStylePr>
  </w:style>
  <w:style w:type="table" w:styleId="ColorfulGrid-Accent1">
    <w:name w:val="Colorful Grid Accent 1"/>
    <w:basedOn w:val="TableNormal"/>
    <w:uiPriority w:val="73"/>
    <w:semiHidden/>
    <w:unhideWhenUsed/>
    <w:rsid w:val="00DF245D"/>
    <w:pPr>
      <w:spacing w:after="0" w:line="240" w:lineRule="auto"/>
    </w:pPr>
    <w:rPr>
      <w:color w:val="30353F" w:themeColor="text1"/>
    </w:rPr>
    <w:tblPr>
      <w:tblStyleRowBandSize w:val="1"/>
      <w:tblStyleColBandSize w:val="1"/>
      <w:tblBorders>
        <w:insideH w:val="single" w:sz="4" w:space="0" w:color="FFFFFF" w:themeColor="background1"/>
      </w:tblBorders>
    </w:tblPr>
    <w:tcPr>
      <w:shd w:val="clear" w:color="auto" w:fill="C0EFFF" w:themeFill="accent1" w:themeFillTint="33"/>
    </w:tcPr>
    <w:tblStylePr w:type="firstRow">
      <w:rPr>
        <w:b/>
        <w:bCs/>
      </w:rPr>
      <w:tblPr/>
      <w:tcPr>
        <w:shd w:val="clear" w:color="auto" w:fill="81DFFF" w:themeFill="accent1" w:themeFillTint="66"/>
      </w:tcPr>
    </w:tblStylePr>
    <w:tblStylePr w:type="lastRow">
      <w:rPr>
        <w:b/>
        <w:bCs/>
        <w:color w:val="30353F" w:themeColor="text1"/>
      </w:rPr>
      <w:tblPr/>
      <w:tcPr>
        <w:shd w:val="clear" w:color="auto" w:fill="81DFFF" w:themeFill="accent1" w:themeFillTint="66"/>
      </w:tcPr>
    </w:tblStylePr>
    <w:tblStylePr w:type="firstCol">
      <w:rPr>
        <w:color w:val="FFFFFF" w:themeColor="background1"/>
      </w:rPr>
      <w:tblPr/>
      <w:tcPr>
        <w:shd w:val="clear" w:color="auto" w:fill="006E93" w:themeFill="accent1" w:themeFillShade="BF"/>
      </w:tcPr>
    </w:tblStylePr>
    <w:tblStylePr w:type="lastCol">
      <w:rPr>
        <w:color w:val="FFFFFF" w:themeColor="background1"/>
      </w:rPr>
      <w:tblPr/>
      <w:tcPr>
        <w:shd w:val="clear" w:color="auto" w:fill="006E93" w:themeFill="accent1" w:themeFillShade="BF"/>
      </w:tcPr>
    </w:tblStylePr>
    <w:tblStylePr w:type="band1Vert">
      <w:tblPr/>
      <w:tcPr>
        <w:shd w:val="clear" w:color="auto" w:fill="63D7FF" w:themeFill="accent1" w:themeFillTint="7F"/>
      </w:tcPr>
    </w:tblStylePr>
    <w:tblStylePr w:type="band1Horz">
      <w:tblPr/>
      <w:tcPr>
        <w:shd w:val="clear" w:color="auto" w:fill="63D7FF" w:themeFill="accent1" w:themeFillTint="7F"/>
      </w:tcPr>
    </w:tblStylePr>
  </w:style>
  <w:style w:type="table" w:styleId="ColorfulGrid-Accent2">
    <w:name w:val="Colorful Grid Accent 2"/>
    <w:basedOn w:val="TableNormal"/>
    <w:uiPriority w:val="73"/>
    <w:semiHidden/>
    <w:unhideWhenUsed/>
    <w:rsid w:val="00DF245D"/>
    <w:pPr>
      <w:spacing w:after="0" w:line="240" w:lineRule="auto"/>
    </w:pPr>
    <w:rPr>
      <w:color w:val="30353F" w:themeColor="text1"/>
    </w:rPr>
    <w:tblPr>
      <w:tblStyleRowBandSize w:val="1"/>
      <w:tblStyleColBandSize w:val="1"/>
      <w:tblBorders>
        <w:insideH w:val="single" w:sz="4" w:space="0" w:color="FFFFFF" w:themeColor="background1"/>
      </w:tblBorders>
    </w:tblPr>
    <w:tcPr>
      <w:shd w:val="clear" w:color="auto" w:fill="FFC6E1" w:themeFill="accent2" w:themeFillTint="33"/>
    </w:tcPr>
    <w:tblStylePr w:type="firstRow">
      <w:rPr>
        <w:b/>
        <w:bCs/>
      </w:rPr>
      <w:tblPr/>
      <w:tcPr>
        <w:shd w:val="clear" w:color="auto" w:fill="FF8EC3" w:themeFill="accent2" w:themeFillTint="66"/>
      </w:tcPr>
    </w:tblStylePr>
    <w:tblStylePr w:type="lastRow">
      <w:rPr>
        <w:b/>
        <w:bCs/>
        <w:color w:val="30353F" w:themeColor="text1"/>
      </w:rPr>
      <w:tblPr/>
      <w:tcPr>
        <w:shd w:val="clear" w:color="auto" w:fill="FF8EC3" w:themeFill="accent2" w:themeFillTint="66"/>
      </w:tcPr>
    </w:tblStylePr>
    <w:tblStylePr w:type="firstCol">
      <w:rPr>
        <w:color w:val="FFFFFF" w:themeColor="background1"/>
      </w:rPr>
      <w:tblPr/>
      <w:tcPr>
        <w:shd w:val="clear" w:color="auto" w:fill="AB0051" w:themeFill="accent2" w:themeFillShade="BF"/>
      </w:tcPr>
    </w:tblStylePr>
    <w:tblStylePr w:type="lastCol">
      <w:rPr>
        <w:color w:val="FFFFFF" w:themeColor="background1"/>
      </w:rPr>
      <w:tblPr/>
      <w:tcPr>
        <w:shd w:val="clear" w:color="auto" w:fill="AB0051" w:themeFill="accent2" w:themeFillShade="BF"/>
      </w:tcPr>
    </w:tblStylePr>
    <w:tblStylePr w:type="band1Vert">
      <w:tblPr/>
      <w:tcPr>
        <w:shd w:val="clear" w:color="auto" w:fill="FF73B5" w:themeFill="accent2" w:themeFillTint="7F"/>
      </w:tcPr>
    </w:tblStylePr>
    <w:tblStylePr w:type="band1Horz">
      <w:tblPr/>
      <w:tcPr>
        <w:shd w:val="clear" w:color="auto" w:fill="FF73B5" w:themeFill="accent2" w:themeFillTint="7F"/>
      </w:tcPr>
    </w:tblStylePr>
  </w:style>
  <w:style w:type="table" w:styleId="ColorfulGrid-Accent3">
    <w:name w:val="Colorful Grid Accent 3"/>
    <w:basedOn w:val="TableNormal"/>
    <w:uiPriority w:val="73"/>
    <w:semiHidden/>
    <w:unhideWhenUsed/>
    <w:rsid w:val="00DF245D"/>
    <w:pPr>
      <w:spacing w:after="0" w:line="240" w:lineRule="auto"/>
    </w:pPr>
    <w:rPr>
      <w:color w:val="30353F" w:themeColor="text1"/>
    </w:rPr>
    <w:tblPr>
      <w:tblStyleRowBandSize w:val="1"/>
      <w:tblStyleColBandSize w:val="1"/>
      <w:tblBorders>
        <w:insideH w:val="single" w:sz="4" w:space="0" w:color="FFFFFF" w:themeColor="background1"/>
      </w:tblBorders>
    </w:tblPr>
    <w:tcPr>
      <w:shd w:val="clear" w:color="auto" w:fill="CCC7EF" w:themeFill="accent3" w:themeFillTint="33"/>
    </w:tcPr>
    <w:tblStylePr w:type="firstRow">
      <w:rPr>
        <w:b/>
        <w:bCs/>
      </w:rPr>
      <w:tblPr/>
      <w:tcPr>
        <w:shd w:val="clear" w:color="auto" w:fill="998FDF" w:themeFill="accent3" w:themeFillTint="66"/>
      </w:tcPr>
    </w:tblStylePr>
    <w:tblStylePr w:type="lastRow">
      <w:rPr>
        <w:b/>
        <w:bCs/>
        <w:color w:val="30353F" w:themeColor="text1"/>
      </w:rPr>
      <w:tblPr/>
      <w:tcPr>
        <w:shd w:val="clear" w:color="auto" w:fill="998FDF" w:themeFill="accent3" w:themeFillTint="66"/>
      </w:tcPr>
    </w:tblStylePr>
    <w:tblStylePr w:type="firstCol">
      <w:rPr>
        <w:color w:val="FFFFFF" w:themeColor="background1"/>
      </w:rPr>
      <w:tblPr/>
      <w:tcPr>
        <w:shd w:val="clear" w:color="auto" w:fill="201958" w:themeFill="accent3" w:themeFillShade="BF"/>
      </w:tcPr>
    </w:tblStylePr>
    <w:tblStylePr w:type="lastCol">
      <w:rPr>
        <w:color w:val="FFFFFF" w:themeColor="background1"/>
      </w:rPr>
      <w:tblPr/>
      <w:tcPr>
        <w:shd w:val="clear" w:color="auto" w:fill="201958" w:themeFill="accent3" w:themeFillShade="BF"/>
      </w:tcPr>
    </w:tblStylePr>
    <w:tblStylePr w:type="band1Vert">
      <w:tblPr/>
      <w:tcPr>
        <w:shd w:val="clear" w:color="auto" w:fill="8074D7" w:themeFill="accent3" w:themeFillTint="7F"/>
      </w:tcPr>
    </w:tblStylePr>
    <w:tblStylePr w:type="band1Horz">
      <w:tblPr/>
      <w:tcPr>
        <w:shd w:val="clear" w:color="auto" w:fill="8074D7" w:themeFill="accent3" w:themeFillTint="7F"/>
      </w:tcPr>
    </w:tblStylePr>
  </w:style>
  <w:style w:type="table" w:styleId="ColorfulGrid-Accent4">
    <w:name w:val="Colorful Grid Accent 4"/>
    <w:basedOn w:val="TableNormal"/>
    <w:uiPriority w:val="73"/>
    <w:semiHidden/>
    <w:unhideWhenUsed/>
    <w:rsid w:val="00DF245D"/>
    <w:pPr>
      <w:spacing w:after="0" w:line="240" w:lineRule="auto"/>
    </w:pPr>
    <w:rPr>
      <w:color w:val="30353F" w:themeColor="text1"/>
    </w:rPr>
    <w:tblPr>
      <w:tblStyleRowBandSize w:val="1"/>
      <w:tblStyleColBandSize w:val="1"/>
      <w:tblBorders>
        <w:insideH w:val="single" w:sz="4" w:space="0" w:color="FFFFFF" w:themeColor="background1"/>
      </w:tblBorders>
    </w:tblPr>
    <w:tcPr>
      <w:shd w:val="clear" w:color="auto" w:fill="F5BED8" w:themeFill="accent4" w:themeFillTint="33"/>
    </w:tcPr>
    <w:tblStylePr w:type="firstRow">
      <w:rPr>
        <w:b/>
        <w:bCs/>
      </w:rPr>
      <w:tblPr/>
      <w:tcPr>
        <w:shd w:val="clear" w:color="auto" w:fill="EC7EB2" w:themeFill="accent4" w:themeFillTint="66"/>
      </w:tcPr>
    </w:tblStylePr>
    <w:tblStylePr w:type="lastRow">
      <w:rPr>
        <w:b/>
        <w:bCs/>
        <w:color w:val="30353F" w:themeColor="text1"/>
      </w:rPr>
      <w:tblPr/>
      <w:tcPr>
        <w:shd w:val="clear" w:color="auto" w:fill="EC7EB2" w:themeFill="accent4" w:themeFillTint="66"/>
      </w:tcPr>
    </w:tblStylePr>
    <w:tblStylePr w:type="firstCol">
      <w:rPr>
        <w:color w:val="FFFFFF" w:themeColor="background1"/>
      </w:rPr>
      <w:tblPr/>
      <w:tcPr>
        <w:shd w:val="clear" w:color="auto" w:fill="5B0D32" w:themeFill="accent4" w:themeFillShade="BF"/>
      </w:tcPr>
    </w:tblStylePr>
    <w:tblStylePr w:type="lastCol">
      <w:rPr>
        <w:color w:val="FFFFFF" w:themeColor="background1"/>
      </w:rPr>
      <w:tblPr/>
      <w:tcPr>
        <w:shd w:val="clear" w:color="auto" w:fill="5B0D32" w:themeFill="accent4" w:themeFillShade="BF"/>
      </w:tcPr>
    </w:tblStylePr>
    <w:tblStylePr w:type="band1Vert">
      <w:tblPr/>
      <w:tcPr>
        <w:shd w:val="clear" w:color="auto" w:fill="E75E9F" w:themeFill="accent4" w:themeFillTint="7F"/>
      </w:tcPr>
    </w:tblStylePr>
    <w:tblStylePr w:type="band1Horz">
      <w:tblPr/>
      <w:tcPr>
        <w:shd w:val="clear" w:color="auto" w:fill="E75E9F" w:themeFill="accent4" w:themeFillTint="7F"/>
      </w:tcPr>
    </w:tblStylePr>
  </w:style>
  <w:style w:type="table" w:styleId="ColorfulGrid-Accent5">
    <w:name w:val="Colorful Grid Accent 5"/>
    <w:basedOn w:val="TableNormal"/>
    <w:uiPriority w:val="73"/>
    <w:semiHidden/>
    <w:unhideWhenUsed/>
    <w:rsid w:val="00DF245D"/>
    <w:pPr>
      <w:spacing w:after="0" w:line="240" w:lineRule="auto"/>
    </w:pPr>
    <w:rPr>
      <w:color w:val="30353F" w:themeColor="text1"/>
    </w:rPr>
    <w:tblPr>
      <w:tblStyleRowBandSize w:val="1"/>
      <w:tblStyleColBandSize w:val="1"/>
      <w:tblBorders>
        <w:insideH w:val="single" w:sz="4" w:space="0" w:color="FFFFFF" w:themeColor="background1"/>
      </w:tblBorders>
    </w:tblPr>
    <w:tcPr>
      <w:shd w:val="clear" w:color="auto" w:fill="F4FCC6" w:themeFill="accent5" w:themeFillTint="33"/>
    </w:tcPr>
    <w:tblStylePr w:type="firstRow">
      <w:rPr>
        <w:b/>
        <w:bCs/>
      </w:rPr>
      <w:tblPr/>
      <w:tcPr>
        <w:shd w:val="clear" w:color="auto" w:fill="E9F88E" w:themeFill="accent5" w:themeFillTint="66"/>
      </w:tcPr>
    </w:tblStylePr>
    <w:tblStylePr w:type="lastRow">
      <w:rPr>
        <w:b/>
        <w:bCs/>
        <w:color w:val="30353F" w:themeColor="text1"/>
      </w:rPr>
      <w:tblPr/>
      <w:tcPr>
        <w:shd w:val="clear" w:color="auto" w:fill="E9F88E" w:themeFill="accent5" w:themeFillTint="66"/>
      </w:tcPr>
    </w:tblStylePr>
    <w:tblStylePr w:type="firstCol">
      <w:rPr>
        <w:color w:val="FFFFFF" w:themeColor="background1"/>
      </w:rPr>
      <w:tblPr/>
      <w:tcPr>
        <w:shd w:val="clear" w:color="auto" w:fill="829708" w:themeFill="accent5" w:themeFillShade="BF"/>
      </w:tcPr>
    </w:tblStylePr>
    <w:tblStylePr w:type="lastCol">
      <w:rPr>
        <w:color w:val="FFFFFF" w:themeColor="background1"/>
      </w:rPr>
      <w:tblPr/>
      <w:tcPr>
        <w:shd w:val="clear" w:color="auto" w:fill="829708" w:themeFill="accent5" w:themeFillShade="BF"/>
      </w:tcPr>
    </w:tblStylePr>
    <w:tblStylePr w:type="band1Vert">
      <w:tblPr/>
      <w:tcPr>
        <w:shd w:val="clear" w:color="auto" w:fill="E4F772" w:themeFill="accent5" w:themeFillTint="7F"/>
      </w:tcPr>
    </w:tblStylePr>
    <w:tblStylePr w:type="band1Horz">
      <w:tblPr/>
      <w:tcPr>
        <w:shd w:val="clear" w:color="auto" w:fill="E4F772" w:themeFill="accent5" w:themeFillTint="7F"/>
      </w:tcPr>
    </w:tblStylePr>
  </w:style>
  <w:style w:type="table" w:styleId="ColorfulGrid-Accent6">
    <w:name w:val="Colorful Grid Accent 6"/>
    <w:basedOn w:val="TableNormal"/>
    <w:uiPriority w:val="73"/>
    <w:semiHidden/>
    <w:unhideWhenUsed/>
    <w:rsid w:val="00DF245D"/>
    <w:pPr>
      <w:spacing w:after="0" w:line="240" w:lineRule="auto"/>
    </w:pPr>
    <w:rPr>
      <w:color w:val="30353F" w:themeColor="text1"/>
    </w:rPr>
    <w:tblPr>
      <w:tblStyleRowBandSize w:val="1"/>
      <w:tblStyleColBandSize w:val="1"/>
      <w:tblBorders>
        <w:insideH w:val="single" w:sz="4" w:space="0" w:color="FFFFFF" w:themeColor="background1"/>
      </w:tblBorders>
    </w:tblPr>
    <w:tcPr>
      <w:shd w:val="clear" w:color="auto" w:fill="D4F1D3" w:themeFill="accent6" w:themeFillTint="33"/>
    </w:tcPr>
    <w:tblStylePr w:type="firstRow">
      <w:rPr>
        <w:b/>
        <w:bCs/>
      </w:rPr>
      <w:tblPr/>
      <w:tcPr>
        <w:shd w:val="clear" w:color="auto" w:fill="A9E3A7" w:themeFill="accent6" w:themeFillTint="66"/>
      </w:tcPr>
    </w:tblStylePr>
    <w:tblStylePr w:type="lastRow">
      <w:rPr>
        <w:b/>
        <w:bCs/>
        <w:color w:val="30353F" w:themeColor="text1"/>
      </w:rPr>
      <w:tblPr/>
      <w:tcPr>
        <w:shd w:val="clear" w:color="auto" w:fill="A9E3A7" w:themeFill="accent6" w:themeFillTint="66"/>
      </w:tcPr>
    </w:tblStylePr>
    <w:tblStylePr w:type="firstCol">
      <w:rPr>
        <w:color w:val="FFFFFF" w:themeColor="background1"/>
      </w:rPr>
      <w:tblPr/>
      <w:tcPr>
        <w:shd w:val="clear" w:color="auto" w:fill="2B7F27" w:themeFill="accent6" w:themeFillShade="BF"/>
      </w:tcPr>
    </w:tblStylePr>
    <w:tblStylePr w:type="lastCol">
      <w:rPr>
        <w:color w:val="FFFFFF" w:themeColor="background1"/>
      </w:rPr>
      <w:tblPr/>
      <w:tcPr>
        <w:shd w:val="clear" w:color="auto" w:fill="2B7F27" w:themeFill="accent6" w:themeFillShade="BF"/>
      </w:tcPr>
    </w:tblStylePr>
    <w:tblStylePr w:type="band1Vert">
      <w:tblPr/>
      <w:tcPr>
        <w:shd w:val="clear" w:color="auto" w:fill="94DD92" w:themeFill="accent6" w:themeFillTint="7F"/>
      </w:tcPr>
    </w:tblStylePr>
    <w:tblStylePr w:type="band1Horz">
      <w:tblPr/>
      <w:tcPr>
        <w:shd w:val="clear" w:color="auto" w:fill="94DD92" w:themeFill="accent6" w:themeFillTint="7F"/>
      </w:tcPr>
    </w:tblStylePr>
  </w:style>
  <w:style w:type="table" w:styleId="ColorfulList">
    <w:name w:val="Colorful List"/>
    <w:basedOn w:val="TableNormal"/>
    <w:uiPriority w:val="72"/>
    <w:semiHidden/>
    <w:unhideWhenUsed/>
    <w:rsid w:val="00DF245D"/>
    <w:pPr>
      <w:spacing w:after="0" w:line="240" w:lineRule="auto"/>
    </w:pPr>
    <w:rPr>
      <w:color w:val="30353F" w:themeColor="text1"/>
    </w:rPr>
    <w:tblPr>
      <w:tblStyleRowBandSize w:val="1"/>
      <w:tblStyleColBandSize w:val="1"/>
    </w:tblPr>
    <w:tcPr>
      <w:shd w:val="clear" w:color="auto" w:fill="E8EAEE" w:themeFill="text1" w:themeFillTint="19"/>
    </w:tcPr>
    <w:tblStylePr w:type="firstRow">
      <w:rPr>
        <w:b/>
        <w:bCs/>
        <w:color w:val="FFFFFF" w:themeColor="background1"/>
      </w:rPr>
      <w:tblPr/>
      <w:tcPr>
        <w:tcBorders>
          <w:bottom w:val="single" w:sz="12" w:space="0" w:color="FFFFFF" w:themeColor="background1"/>
        </w:tcBorders>
        <w:shd w:val="clear" w:color="auto" w:fill="B70056" w:themeFill="accent2" w:themeFillShade="CC"/>
      </w:tcPr>
    </w:tblStylePr>
    <w:tblStylePr w:type="lastRow">
      <w:rPr>
        <w:b/>
        <w:bCs/>
        <w:color w:val="B70056" w:themeColor="accent2" w:themeShade="CC"/>
      </w:rPr>
      <w:tblPr/>
      <w:tcPr>
        <w:tcBorders>
          <w:top w:val="single" w:sz="12" w:space="0" w:color="30353F"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7CBD4" w:themeFill="text1" w:themeFillTint="3F"/>
      </w:tcPr>
    </w:tblStylePr>
    <w:tblStylePr w:type="band1Horz">
      <w:tblPr/>
      <w:tcPr>
        <w:shd w:val="clear" w:color="auto" w:fill="D1D5DC" w:themeFill="text1" w:themeFillTint="33"/>
      </w:tcPr>
    </w:tblStylePr>
  </w:style>
  <w:style w:type="table" w:styleId="ColorfulList-Accent1">
    <w:name w:val="Colorful List Accent 1"/>
    <w:basedOn w:val="TableNormal"/>
    <w:uiPriority w:val="72"/>
    <w:semiHidden/>
    <w:unhideWhenUsed/>
    <w:rsid w:val="00DF245D"/>
    <w:pPr>
      <w:spacing w:after="0" w:line="240" w:lineRule="auto"/>
    </w:pPr>
    <w:rPr>
      <w:color w:val="30353F" w:themeColor="text1"/>
    </w:rPr>
    <w:tblPr>
      <w:tblStyleRowBandSize w:val="1"/>
      <w:tblStyleColBandSize w:val="1"/>
    </w:tblPr>
    <w:tcPr>
      <w:shd w:val="clear" w:color="auto" w:fill="E0F7FF" w:themeFill="accent1" w:themeFillTint="19"/>
    </w:tcPr>
    <w:tblStylePr w:type="firstRow">
      <w:rPr>
        <w:b/>
        <w:bCs/>
        <w:color w:val="FFFFFF" w:themeColor="background1"/>
      </w:rPr>
      <w:tblPr/>
      <w:tcPr>
        <w:tcBorders>
          <w:bottom w:val="single" w:sz="12" w:space="0" w:color="FFFFFF" w:themeColor="background1"/>
        </w:tcBorders>
        <w:shd w:val="clear" w:color="auto" w:fill="B70056" w:themeFill="accent2" w:themeFillShade="CC"/>
      </w:tcPr>
    </w:tblStylePr>
    <w:tblStylePr w:type="lastRow">
      <w:rPr>
        <w:b/>
        <w:bCs/>
        <w:color w:val="B70056" w:themeColor="accent2" w:themeShade="CC"/>
      </w:rPr>
      <w:tblPr/>
      <w:tcPr>
        <w:tcBorders>
          <w:top w:val="single" w:sz="12" w:space="0" w:color="30353F"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1EBFF" w:themeFill="accent1" w:themeFillTint="3F"/>
      </w:tcPr>
    </w:tblStylePr>
    <w:tblStylePr w:type="band1Horz">
      <w:tblPr/>
      <w:tcPr>
        <w:shd w:val="clear" w:color="auto" w:fill="C0EFFF" w:themeFill="accent1" w:themeFillTint="33"/>
      </w:tcPr>
    </w:tblStylePr>
  </w:style>
  <w:style w:type="table" w:styleId="ColorfulList-Accent2">
    <w:name w:val="Colorful List Accent 2"/>
    <w:basedOn w:val="TableNormal"/>
    <w:uiPriority w:val="72"/>
    <w:semiHidden/>
    <w:unhideWhenUsed/>
    <w:rsid w:val="00DF245D"/>
    <w:pPr>
      <w:spacing w:after="0" w:line="240" w:lineRule="auto"/>
    </w:pPr>
    <w:rPr>
      <w:color w:val="30353F" w:themeColor="text1"/>
    </w:rPr>
    <w:tblPr>
      <w:tblStyleRowBandSize w:val="1"/>
      <w:tblStyleColBandSize w:val="1"/>
    </w:tblPr>
    <w:tcPr>
      <w:shd w:val="clear" w:color="auto" w:fill="FFE3F0" w:themeFill="accent2" w:themeFillTint="19"/>
    </w:tcPr>
    <w:tblStylePr w:type="firstRow">
      <w:rPr>
        <w:b/>
        <w:bCs/>
        <w:color w:val="FFFFFF" w:themeColor="background1"/>
      </w:rPr>
      <w:tblPr/>
      <w:tcPr>
        <w:tcBorders>
          <w:bottom w:val="single" w:sz="12" w:space="0" w:color="FFFFFF" w:themeColor="background1"/>
        </w:tcBorders>
        <w:shd w:val="clear" w:color="auto" w:fill="B70056" w:themeFill="accent2" w:themeFillShade="CC"/>
      </w:tcPr>
    </w:tblStylePr>
    <w:tblStylePr w:type="lastRow">
      <w:rPr>
        <w:b/>
        <w:bCs/>
        <w:color w:val="B70056" w:themeColor="accent2" w:themeShade="CC"/>
      </w:rPr>
      <w:tblPr/>
      <w:tcPr>
        <w:tcBorders>
          <w:top w:val="single" w:sz="12" w:space="0" w:color="30353F"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B9DA" w:themeFill="accent2" w:themeFillTint="3F"/>
      </w:tcPr>
    </w:tblStylePr>
    <w:tblStylePr w:type="band1Horz">
      <w:tblPr/>
      <w:tcPr>
        <w:shd w:val="clear" w:color="auto" w:fill="FFC6E1" w:themeFill="accent2" w:themeFillTint="33"/>
      </w:tcPr>
    </w:tblStylePr>
  </w:style>
  <w:style w:type="table" w:styleId="ColorfulList-Accent3">
    <w:name w:val="Colorful List Accent 3"/>
    <w:basedOn w:val="TableNormal"/>
    <w:uiPriority w:val="72"/>
    <w:semiHidden/>
    <w:unhideWhenUsed/>
    <w:rsid w:val="00DF245D"/>
    <w:pPr>
      <w:spacing w:after="0" w:line="240" w:lineRule="auto"/>
    </w:pPr>
    <w:rPr>
      <w:color w:val="30353F" w:themeColor="text1"/>
    </w:rPr>
    <w:tblPr>
      <w:tblStyleRowBandSize w:val="1"/>
      <w:tblStyleColBandSize w:val="1"/>
    </w:tblPr>
    <w:tcPr>
      <w:shd w:val="clear" w:color="auto" w:fill="E5E3F7" w:themeFill="accent3" w:themeFillTint="19"/>
    </w:tcPr>
    <w:tblStylePr w:type="firstRow">
      <w:rPr>
        <w:b/>
        <w:bCs/>
        <w:color w:val="FFFFFF" w:themeColor="background1"/>
      </w:rPr>
      <w:tblPr/>
      <w:tcPr>
        <w:tcBorders>
          <w:bottom w:val="single" w:sz="12" w:space="0" w:color="FFFFFF" w:themeColor="background1"/>
        </w:tcBorders>
        <w:shd w:val="clear" w:color="auto" w:fill="620E36" w:themeFill="accent4" w:themeFillShade="CC"/>
      </w:tcPr>
    </w:tblStylePr>
    <w:tblStylePr w:type="lastRow">
      <w:rPr>
        <w:b/>
        <w:bCs/>
        <w:color w:val="620E36" w:themeColor="accent4" w:themeShade="CC"/>
      </w:rPr>
      <w:tblPr/>
      <w:tcPr>
        <w:tcBorders>
          <w:top w:val="single" w:sz="12" w:space="0" w:color="30353F"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FBAEB" w:themeFill="accent3" w:themeFillTint="3F"/>
      </w:tcPr>
    </w:tblStylePr>
    <w:tblStylePr w:type="band1Horz">
      <w:tblPr/>
      <w:tcPr>
        <w:shd w:val="clear" w:color="auto" w:fill="CCC7EF" w:themeFill="accent3" w:themeFillTint="33"/>
      </w:tcPr>
    </w:tblStylePr>
  </w:style>
  <w:style w:type="table" w:styleId="ColorfulList-Accent4">
    <w:name w:val="Colorful List Accent 4"/>
    <w:basedOn w:val="TableNormal"/>
    <w:uiPriority w:val="72"/>
    <w:semiHidden/>
    <w:unhideWhenUsed/>
    <w:rsid w:val="00DF245D"/>
    <w:pPr>
      <w:spacing w:after="0" w:line="240" w:lineRule="auto"/>
    </w:pPr>
    <w:rPr>
      <w:color w:val="30353F" w:themeColor="text1"/>
    </w:rPr>
    <w:tblPr>
      <w:tblStyleRowBandSize w:val="1"/>
      <w:tblStyleColBandSize w:val="1"/>
    </w:tblPr>
    <w:tcPr>
      <w:shd w:val="clear" w:color="auto" w:fill="FADFEC" w:themeFill="accent4" w:themeFillTint="19"/>
    </w:tcPr>
    <w:tblStylePr w:type="firstRow">
      <w:rPr>
        <w:b/>
        <w:bCs/>
        <w:color w:val="FFFFFF" w:themeColor="background1"/>
      </w:rPr>
      <w:tblPr/>
      <w:tcPr>
        <w:tcBorders>
          <w:bottom w:val="single" w:sz="12" w:space="0" w:color="FFFFFF" w:themeColor="background1"/>
        </w:tcBorders>
        <w:shd w:val="clear" w:color="auto" w:fill="231B5E" w:themeFill="accent3" w:themeFillShade="CC"/>
      </w:tcPr>
    </w:tblStylePr>
    <w:tblStylePr w:type="lastRow">
      <w:rPr>
        <w:b/>
        <w:bCs/>
        <w:color w:val="231B5E" w:themeColor="accent3" w:themeShade="CC"/>
      </w:rPr>
      <w:tblPr/>
      <w:tcPr>
        <w:tcBorders>
          <w:top w:val="single" w:sz="12" w:space="0" w:color="30353F"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3AFCF" w:themeFill="accent4" w:themeFillTint="3F"/>
      </w:tcPr>
    </w:tblStylePr>
    <w:tblStylePr w:type="band1Horz">
      <w:tblPr/>
      <w:tcPr>
        <w:shd w:val="clear" w:color="auto" w:fill="F5BED8" w:themeFill="accent4" w:themeFillTint="33"/>
      </w:tcPr>
    </w:tblStylePr>
  </w:style>
  <w:style w:type="table" w:styleId="ColorfulList-Accent5">
    <w:name w:val="Colorful List Accent 5"/>
    <w:basedOn w:val="TableNormal"/>
    <w:uiPriority w:val="72"/>
    <w:semiHidden/>
    <w:unhideWhenUsed/>
    <w:rsid w:val="00DF245D"/>
    <w:pPr>
      <w:spacing w:after="0" w:line="240" w:lineRule="auto"/>
    </w:pPr>
    <w:rPr>
      <w:color w:val="30353F" w:themeColor="text1"/>
    </w:rPr>
    <w:tblPr>
      <w:tblStyleRowBandSize w:val="1"/>
      <w:tblStyleColBandSize w:val="1"/>
    </w:tblPr>
    <w:tcPr>
      <w:shd w:val="clear" w:color="auto" w:fill="F9FDE3" w:themeFill="accent5" w:themeFillTint="19"/>
    </w:tcPr>
    <w:tblStylePr w:type="firstRow">
      <w:rPr>
        <w:b/>
        <w:bCs/>
        <w:color w:val="FFFFFF" w:themeColor="background1"/>
      </w:rPr>
      <w:tblPr/>
      <w:tcPr>
        <w:tcBorders>
          <w:bottom w:val="single" w:sz="12" w:space="0" w:color="FFFFFF" w:themeColor="background1"/>
        </w:tcBorders>
        <w:shd w:val="clear" w:color="auto" w:fill="2E872A" w:themeFill="accent6" w:themeFillShade="CC"/>
      </w:tcPr>
    </w:tblStylePr>
    <w:tblStylePr w:type="lastRow">
      <w:rPr>
        <w:b/>
        <w:bCs/>
        <w:color w:val="2E872A" w:themeColor="accent6" w:themeShade="CC"/>
      </w:rPr>
      <w:tblPr/>
      <w:tcPr>
        <w:tcBorders>
          <w:top w:val="single" w:sz="12" w:space="0" w:color="30353F"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1FBB9" w:themeFill="accent5" w:themeFillTint="3F"/>
      </w:tcPr>
    </w:tblStylePr>
    <w:tblStylePr w:type="band1Horz">
      <w:tblPr/>
      <w:tcPr>
        <w:shd w:val="clear" w:color="auto" w:fill="F4FCC6" w:themeFill="accent5" w:themeFillTint="33"/>
      </w:tcPr>
    </w:tblStylePr>
  </w:style>
  <w:style w:type="table" w:styleId="ColorfulList-Accent6">
    <w:name w:val="Colorful List Accent 6"/>
    <w:basedOn w:val="TableNormal"/>
    <w:uiPriority w:val="72"/>
    <w:semiHidden/>
    <w:unhideWhenUsed/>
    <w:rsid w:val="00DF245D"/>
    <w:pPr>
      <w:spacing w:after="0" w:line="240" w:lineRule="auto"/>
    </w:pPr>
    <w:rPr>
      <w:color w:val="30353F" w:themeColor="text1"/>
    </w:rPr>
    <w:tblPr>
      <w:tblStyleRowBandSize w:val="1"/>
      <w:tblStyleColBandSize w:val="1"/>
    </w:tblPr>
    <w:tcPr>
      <w:shd w:val="clear" w:color="auto" w:fill="E9F8E9" w:themeFill="accent6" w:themeFillTint="19"/>
    </w:tcPr>
    <w:tblStylePr w:type="firstRow">
      <w:rPr>
        <w:b/>
        <w:bCs/>
        <w:color w:val="FFFFFF" w:themeColor="background1"/>
      </w:rPr>
      <w:tblPr/>
      <w:tcPr>
        <w:tcBorders>
          <w:bottom w:val="single" w:sz="12" w:space="0" w:color="FFFFFF" w:themeColor="background1"/>
        </w:tcBorders>
        <w:shd w:val="clear" w:color="auto" w:fill="8BA109" w:themeFill="accent5" w:themeFillShade="CC"/>
      </w:tcPr>
    </w:tblStylePr>
    <w:tblStylePr w:type="lastRow">
      <w:rPr>
        <w:b/>
        <w:bCs/>
        <w:color w:val="8BA109" w:themeColor="accent5" w:themeShade="CC"/>
      </w:rPr>
      <w:tblPr/>
      <w:tcPr>
        <w:tcBorders>
          <w:top w:val="single" w:sz="12" w:space="0" w:color="30353F"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AEEC8" w:themeFill="accent6" w:themeFillTint="3F"/>
      </w:tcPr>
    </w:tblStylePr>
    <w:tblStylePr w:type="band1Horz">
      <w:tblPr/>
      <w:tcPr>
        <w:shd w:val="clear" w:color="auto" w:fill="D4F1D3" w:themeFill="accent6" w:themeFillTint="33"/>
      </w:tcPr>
    </w:tblStylePr>
  </w:style>
  <w:style w:type="table" w:styleId="ColorfulShading">
    <w:name w:val="Colorful Shading"/>
    <w:basedOn w:val="TableNormal"/>
    <w:uiPriority w:val="71"/>
    <w:semiHidden/>
    <w:unhideWhenUsed/>
    <w:rsid w:val="00DF245D"/>
    <w:pPr>
      <w:spacing w:after="0" w:line="240" w:lineRule="auto"/>
    </w:pPr>
    <w:rPr>
      <w:color w:val="30353F" w:themeColor="text1"/>
    </w:rPr>
    <w:tblPr>
      <w:tblStyleRowBandSize w:val="1"/>
      <w:tblStyleColBandSize w:val="1"/>
      <w:tblBorders>
        <w:top w:val="single" w:sz="24" w:space="0" w:color="E5006D" w:themeColor="accent2"/>
        <w:left w:val="single" w:sz="4" w:space="0" w:color="30353F" w:themeColor="text1"/>
        <w:bottom w:val="single" w:sz="4" w:space="0" w:color="30353F" w:themeColor="text1"/>
        <w:right w:val="single" w:sz="4" w:space="0" w:color="30353F" w:themeColor="text1"/>
        <w:insideH w:val="single" w:sz="4" w:space="0" w:color="FFFFFF" w:themeColor="background1"/>
        <w:insideV w:val="single" w:sz="4" w:space="0" w:color="FFFFFF" w:themeColor="background1"/>
      </w:tblBorders>
    </w:tblPr>
    <w:tcPr>
      <w:shd w:val="clear" w:color="auto" w:fill="E8EAEE" w:themeFill="text1" w:themeFillTint="19"/>
    </w:tcPr>
    <w:tblStylePr w:type="firstRow">
      <w:rPr>
        <w:b/>
        <w:bCs/>
      </w:rPr>
      <w:tblPr/>
      <w:tcPr>
        <w:tcBorders>
          <w:top w:val="nil"/>
          <w:left w:val="nil"/>
          <w:bottom w:val="single" w:sz="24" w:space="0" w:color="E5006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C1F25" w:themeFill="text1" w:themeFillShade="99"/>
      </w:tcPr>
    </w:tblStylePr>
    <w:tblStylePr w:type="firstCol">
      <w:rPr>
        <w:color w:val="FFFFFF" w:themeColor="background1"/>
      </w:rPr>
      <w:tblPr/>
      <w:tcPr>
        <w:tcBorders>
          <w:top w:val="nil"/>
          <w:left w:val="nil"/>
          <w:bottom w:val="nil"/>
          <w:right w:val="nil"/>
          <w:insideH w:val="single" w:sz="4" w:space="0" w:color="1C1F25" w:themeColor="text1" w:themeShade="99"/>
          <w:insideV w:val="nil"/>
        </w:tcBorders>
        <w:shd w:val="clear" w:color="auto" w:fill="1C1F25"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24272F" w:themeFill="text1" w:themeFillShade="BF"/>
      </w:tcPr>
    </w:tblStylePr>
    <w:tblStylePr w:type="band1Vert">
      <w:tblPr/>
      <w:tcPr>
        <w:shd w:val="clear" w:color="auto" w:fill="A4ABBA" w:themeFill="text1" w:themeFillTint="66"/>
      </w:tcPr>
    </w:tblStylePr>
    <w:tblStylePr w:type="band1Horz">
      <w:tblPr/>
      <w:tcPr>
        <w:shd w:val="clear" w:color="auto" w:fill="8E97A9" w:themeFill="text1" w:themeFillTint="7F"/>
      </w:tcPr>
    </w:tblStylePr>
    <w:tblStylePr w:type="neCell">
      <w:rPr>
        <w:color w:val="30353F" w:themeColor="text1"/>
      </w:rPr>
    </w:tblStylePr>
    <w:tblStylePr w:type="nwCell">
      <w:rPr>
        <w:color w:val="30353F" w:themeColor="text1"/>
      </w:rPr>
    </w:tblStylePr>
  </w:style>
  <w:style w:type="table" w:styleId="ColorfulShading-Accent1">
    <w:name w:val="Colorful Shading Accent 1"/>
    <w:basedOn w:val="TableNormal"/>
    <w:uiPriority w:val="71"/>
    <w:semiHidden/>
    <w:unhideWhenUsed/>
    <w:rsid w:val="00DF245D"/>
    <w:pPr>
      <w:spacing w:after="0" w:line="240" w:lineRule="auto"/>
    </w:pPr>
    <w:rPr>
      <w:color w:val="30353F" w:themeColor="text1"/>
    </w:rPr>
    <w:tblPr>
      <w:tblStyleRowBandSize w:val="1"/>
      <w:tblStyleColBandSize w:val="1"/>
      <w:tblBorders>
        <w:top w:val="single" w:sz="24" w:space="0" w:color="E5006D" w:themeColor="accent2"/>
        <w:left w:val="single" w:sz="4" w:space="0" w:color="0094C5" w:themeColor="accent1"/>
        <w:bottom w:val="single" w:sz="4" w:space="0" w:color="0094C5" w:themeColor="accent1"/>
        <w:right w:val="single" w:sz="4" w:space="0" w:color="0094C5" w:themeColor="accent1"/>
        <w:insideH w:val="single" w:sz="4" w:space="0" w:color="FFFFFF" w:themeColor="background1"/>
        <w:insideV w:val="single" w:sz="4" w:space="0" w:color="FFFFFF" w:themeColor="background1"/>
      </w:tblBorders>
    </w:tblPr>
    <w:tcPr>
      <w:shd w:val="clear" w:color="auto" w:fill="E0F7FF" w:themeFill="accent1" w:themeFillTint="19"/>
    </w:tcPr>
    <w:tblStylePr w:type="firstRow">
      <w:rPr>
        <w:b/>
        <w:bCs/>
      </w:rPr>
      <w:tblPr/>
      <w:tcPr>
        <w:tcBorders>
          <w:top w:val="nil"/>
          <w:left w:val="nil"/>
          <w:bottom w:val="single" w:sz="24" w:space="0" w:color="E5006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5876" w:themeFill="accent1" w:themeFillShade="99"/>
      </w:tcPr>
    </w:tblStylePr>
    <w:tblStylePr w:type="firstCol">
      <w:rPr>
        <w:color w:val="FFFFFF" w:themeColor="background1"/>
      </w:rPr>
      <w:tblPr/>
      <w:tcPr>
        <w:tcBorders>
          <w:top w:val="nil"/>
          <w:left w:val="nil"/>
          <w:bottom w:val="nil"/>
          <w:right w:val="nil"/>
          <w:insideH w:val="single" w:sz="4" w:space="0" w:color="005876" w:themeColor="accent1" w:themeShade="99"/>
          <w:insideV w:val="nil"/>
        </w:tcBorders>
        <w:shd w:val="clear" w:color="auto" w:fill="005876"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05876" w:themeFill="accent1" w:themeFillShade="99"/>
      </w:tcPr>
    </w:tblStylePr>
    <w:tblStylePr w:type="band1Vert">
      <w:tblPr/>
      <w:tcPr>
        <w:shd w:val="clear" w:color="auto" w:fill="81DFFF" w:themeFill="accent1" w:themeFillTint="66"/>
      </w:tcPr>
    </w:tblStylePr>
    <w:tblStylePr w:type="band1Horz">
      <w:tblPr/>
      <w:tcPr>
        <w:shd w:val="clear" w:color="auto" w:fill="63D7FF" w:themeFill="accent1" w:themeFillTint="7F"/>
      </w:tcPr>
    </w:tblStylePr>
    <w:tblStylePr w:type="neCell">
      <w:rPr>
        <w:color w:val="30353F" w:themeColor="text1"/>
      </w:rPr>
    </w:tblStylePr>
    <w:tblStylePr w:type="nwCell">
      <w:rPr>
        <w:color w:val="30353F" w:themeColor="text1"/>
      </w:rPr>
    </w:tblStylePr>
  </w:style>
  <w:style w:type="table" w:styleId="ColorfulShading-Accent2">
    <w:name w:val="Colorful Shading Accent 2"/>
    <w:basedOn w:val="TableNormal"/>
    <w:uiPriority w:val="71"/>
    <w:semiHidden/>
    <w:unhideWhenUsed/>
    <w:rsid w:val="00DF245D"/>
    <w:pPr>
      <w:spacing w:after="0" w:line="240" w:lineRule="auto"/>
    </w:pPr>
    <w:rPr>
      <w:color w:val="30353F" w:themeColor="text1"/>
    </w:rPr>
    <w:tblPr>
      <w:tblStyleRowBandSize w:val="1"/>
      <w:tblStyleColBandSize w:val="1"/>
      <w:tblBorders>
        <w:top w:val="single" w:sz="24" w:space="0" w:color="E5006D" w:themeColor="accent2"/>
        <w:left w:val="single" w:sz="4" w:space="0" w:color="E5006D" w:themeColor="accent2"/>
        <w:bottom w:val="single" w:sz="4" w:space="0" w:color="E5006D" w:themeColor="accent2"/>
        <w:right w:val="single" w:sz="4" w:space="0" w:color="E5006D" w:themeColor="accent2"/>
        <w:insideH w:val="single" w:sz="4" w:space="0" w:color="FFFFFF" w:themeColor="background1"/>
        <w:insideV w:val="single" w:sz="4" w:space="0" w:color="FFFFFF" w:themeColor="background1"/>
      </w:tblBorders>
    </w:tblPr>
    <w:tcPr>
      <w:shd w:val="clear" w:color="auto" w:fill="FFE3F0" w:themeFill="accent2" w:themeFillTint="19"/>
    </w:tcPr>
    <w:tblStylePr w:type="firstRow">
      <w:rPr>
        <w:b/>
        <w:bCs/>
      </w:rPr>
      <w:tblPr/>
      <w:tcPr>
        <w:tcBorders>
          <w:top w:val="nil"/>
          <w:left w:val="nil"/>
          <w:bottom w:val="single" w:sz="24" w:space="0" w:color="E5006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90041" w:themeFill="accent2" w:themeFillShade="99"/>
      </w:tcPr>
    </w:tblStylePr>
    <w:tblStylePr w:type="firstCol">
      <w:rPr>
        <w:color w:val="FFFFFF" w:themeColor="background1"/>
      </w:rPr>
      <w:tblPr/>
      <w:tcPr>
        <w:tcBorders>
          <w:top w:val="nil"/>
          <w:left w:val="nil"/>
          <w:bottom w:val="nil"/>
          <w:right w:val="nil"/>
          <w:insideH w:val="single" w:sz="4" w:space="0" w:color="890041" w:themeColor="accent2" w:themeShade="99"/>
          <w:insideV w:val="nil"/>
        </w:tcBorders>
        <w:shd w:val="clear" w:color="auto" w:fill="890041"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890041" w:themeFill="accent2" w:themeFillShade="99"/>
      </w:tcPr>
    </w:tblStylePr>
    <w:tblStylePr w:type="band1Vert">
      <w:tblPr/>
      <w:tcPr>
        <w:shd w:val="clear" w:color="auto" w:fill="FF8EC3" w:themeFill="accent2" w:themeFillTint="66"/>
      </w:tcPr>
    </w:tblStylePr>
    <w:tblStylePr w:type="band1Horz">
      <w:tblPr/>
      <w:tcPr>
        <w:shd w:val="clear" w:color="auto" w:fill="FF73B5" w:themeFill="accent2" w:themeFillTint="7F"/>
      </w:tcPr>
    </w:tblStylePr>
    <w:tblStylePr w:type="neCell">
      <w:rPr>
        <w:color w:val="30353F" w:themeColor="text1"/>
      </w:rPr>
    </w:tblStylePr>
    <w:tblStylePr w:type="nwCell">
      <w:rPr>
        <w:color w:val="30353F" w:themeColor="text1"/>
      </w:rPr>
    </w:tblStylePr>
  </w:style>
  <w:style w:type="table" w:styleId="ColorfulShading-Accent3">
    <w:name w:val="Colorful Shading Accent 3"/>
    <w:basedOn w:val="TableNormal"/>
    <w:uiPriority w:val="71"/>
    <w:semiHidden/>
    <w:unhideWhenUsed/>
    <w:rsid w:val="00DF245D"/>
    <w:pPr>
      <w:spacing w:after="0" w:line="240" w:lineRule="auto"/>
    </w:pPr>
    <w:rPr>
      <w:color w:val="30353F" w:themeColor="text1"/>
    </w:rPr>
    <w:tblPr>
      <w:tblStyleRowBandSize w:val="1"/>
      <w:tblStyleColBandSize w:val="1"/>
      <w:tblBorders>
        <w:top w:val="single" w:sz="24" w:space="0" w:color="7B1244" w:themeColor="accent4"/>
        <w:left w:val="single" w:sz="4" w:space="0" w:color="2C2276" w:themeColor="accent3"/>
        <w:bottom w:val="single" w:sz="4" w:space="0" w:color="2C2276" w:themeColor="accent3"/>
        <w:right w:val="single" w:sz="4" w:space="0" w:color="2C2276" w:themeColor="accent3"/>
        <w:insideH w:val="single" w:sz="4" w:space="0" w:color="FFFFFF" w:themeColor="background1"/>
        <w:insideV w:val="single" w:sz="4" w:space="0" w:color="FFFFFF" w:themeColor="background1"/>
      </w:tblBorders>
    </w:tblPr>
    <w:tcPr>
      <w:shd w:val="clear" w:color="auto" w:fill="E5E3F7" w:themeFill="accent3" w:themeFillTint="19"/>
    </w:tcPr>
    <w:tblStylePr w:type="firstRow">
      <w:rPr>
        <w:b/>
        <w:bCs/>
      </w:rPr>
      <w:tblPr/>
      <w:tcPr>
        <w:tcBorders>
          <w:top w:val="nil"/>
          <w:left w:val="nil"/>
          <w:bottom w:val="single" w:sz="24" w:space="0" w:color="7B1244"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A1446" w:themeFill="accent3" w:themeFillShade="99"/>
      </w:tcPr>
    </w:tblStylePr>
    <w:tblStylePr w:type="firstCol">
      <w:rPr>
        <w:color w:val="FFFFFF" w:themeColor="background1"/>
      </w:rPr>
      <w:tblPr/>
      <w:tcPr>
        <w:tcBorders>
          <w:top w:val="nil"/>
          <w:left w:val="nil"/>
          <w:bottom w:val="nil"/>
          <w:right w:val="nil"/>
          <w:insideH w:val="single" w:sz="4" w:space="0" w:color="1A1446" w:themeColor="accent3" w:themeShade="99"/>
          <w:insideV w:val="nil"/>
        </w:tcBorders>
        <w:shd w:val="clear" w:color="auto" w:fill="1A1446"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1A1446" w:themeFill="accent3" w:themeFillShade="99"/>
      </w:tcPr>
    </w:tblStylePr>
    <w:tblStylePr w:type="band1Vert">
      <w:tblPr/>
      <w:tcPr>
        <w:shd w:val="clear" w:color="auto" w:fill="998FDF" w:themeFill="accent3" w:themeFillTint="66"/>
      </w:tcPr>
    </w:tblStylePr>
    <w:tblStylePr w:type="band1Horz">
      <w:tblPr/>
      <w:tcPr>
        <w:shd w:val="clear" w:color="auto" w:fill="8074D7" w:themeFill="accent3" w:themeFillTint="7F"/>
      </w:tcPr>
    </w:tblStylePr>
  </w:style>
  <w:style w:type="table" w:styleId="ColorfulShading-Accent4">
    <w:name w:val="Colorful Shading Accent 4"/>
    <w:basedOn w:val="TableNormal"/>
    <w:uiPriority w:val="71"/>
    <w:semiHidden/>
    <w:unhideWhenUsed/>
    <w:rsid w:val="00DF245D"/>
    <w:pPr>
      <w:spacing w:after="0" w:line="240" w:lineRule="auto"/>
    </w:pPr>
    <w:rPr>
      <w:color w:val="30353F" w:themeColor="text1"/>
    </w:rPr>
    <w:tblPr>
      <w:tblStyleRowBandSize w:val="1"/>
      <w:tblStyleColBandSize w:val="1"/>
      <w:tblBorders>
        <w:top w:val="single" w:sz="24" w:space="0" w:color="2C2276" w:themeColor="accent3"/>
        <w:left w:val="single" w:sz="4" w:space="0" w:color="7B1244" w:themeColor="accent4"/>
        <w:bottom w:val="single" w:sz="4" w:space="0" w:color="7B1244" w:themeColor="accent4"/>
        <w:right w:val="single" w:sz="4" w:space="0" w:color="7B1244" w:themeColor="accent4"/>
        <w:insideH w:val="single" w:sz="4" w:space="0" w:color="FFFFFF" w:themeColor="background1"/>
        <w:insideV w:val="single" w:sz="4" w:space="0" w:color="FFFFFF" w:themeColor="background1"/>
      </w:tblBorders>
    </w:tblPr>
    <w:tcPr>
      <w:shd w:val="clear" w:color="auto" w:fill="FADFEC" w:themeFill="accent4" w:themeFillTint="19"/>
    </w:tcPr>
    <w:tblStylePr w:type="firstRow">
      <w:rPr>
        <w:b/>
        <w:bCs/>
      </w:rPr>
      <w:tblPr/>
      <w:tcPr>
        <w:tcBorders>
          <w:top w:val="nil"/>
          <w:left w:val="nil"/>
          <w:bottom w:val="single" w:sz="24" w:space="0" w:color="2C2276"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90A28" w:themeFill="accent4" w:themeFillShade="99"/>
      </w:tcPr>
    </w:tblStylePr>
    <w:tblStylePr w:type="firstCol">
      <w:rPr>
        <w:color w:val="FFFFFF" w:themeColor="background1"/>
      </w:rPr>
      <w:tblPr/>
      <w:tcPr>
        <w:tcBorders>
          <w:top w:val="nil"/>
          <w:left w:val="nil"/>
          <w:bottom w:val="nil"/>
          <w:right w:val="nil"/>
          <w:insideH w:val="single" w:sz="4" w:space="0" w:color="490A28" w:themeColor="accent4" w:themeShade="99"/>
          <w:insideV w:val="nil"/>
        </w:tcBorders>
        <w:shd w:val="clear" w:color="auto" w:fill="490A28"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90A28" w:themeFill="accent4" w:themeFillShade="99"/>
      </w:tcPr>
    </w:tblStylePr>
    <w:tblStylePr w:type="band1Vert">
      <w:tblPr/>
      <w:tcPr>
        <w:shd w:val="clear" w:color="auto" w:fill="EC7EB2" w:themeFill="accent4" w:themeFillTint="66"/>
      </w:tcPr>
    </w:tblStylePr>
    <w:tblStylePr w:type="band1Horz">
      <w:tblPr/>
      <w:tcPr>
        <w:shd w:val="clear" w:color="auto" w:fill="E75E9F" w:themeFill="accent4" w:themeFillTint="7F"/>
      </w:tcPr>
    </w:tblStylePr>
    <w:tblStylePr w:type="neCell">
      <w:rPr>
        <w:color w:val="30353F" w:themeColor="text1"/>
      </w:rPr>
    </w:tblStylePr>
    <w:tblStylePr w:type="nwCell">
      <w:rPr>
        <w:color w:val="30353F" w:themeColor="text1"/>
      </w:rPr>
    </w:tblStylePr>
  </w:style>
  <w:style w:type="table" w:styleId="ColorfulShading-Accent5">
    <w:name w:val="Colorful Shading Accent 5"/>
    <w:basedOn w:val="TableNormal"/>
    <w:uiPriority w:val="71"/>
    <w:semiHidden/>
    <w:unhideWhenUsed/>
    <w:rsid w:val="00DF245D"/>
    <w:pPr>
      <w:spacing w:after="0" w:line="240" w:lineRule="auto"/>
    </w:pPr>
    <w:rPr>
      <w:color w:val="30353F" w:themeColor="text1"/>
    </w:rPr>
    <w:tblPr>
      <w:tblStyleRowBandSize w:val="1"/>
      <w:tblStyleColBandSize w:val="1"/>
      <w:tblBorders>
        <w:top w:val="single" w:sz="24" w:space="0" w:color="3AAA35" w:themeColor="accent6"/>
        <w:left w:val="single" w:sz="4" w:space="0" w:color="AFCA0B" w:themeColor="accent5"/>
        <w:bottom w:val="single" w:sz="4" w:space="0" w:color="AFCA0B" w:themeColor="accent5"/>
        <w:right w:val="single" w:sz="4" w:space="0" w:color="AFCA0B" w:themeColor="accent5"/>
        <w:insideH w:val="single" w:sz="4" w:space="0" w:color="FFFFFF" w:themeColor="background1"/>
        <w:insideV w:val="single" w:sz="4" w:space="0" w:color="FFFFFF" w:themeColor="background1"/>
      </w:tblBorders>
    </w:tblPr>
    <w:tcPr>
      <w:shd w:val="clear" w:color="auto" w:fill="F9FDE3" w:themeFill="accent5" w:themeFillTint="19"/>
    </w:tcPr>
    <w:tblStylePr w:type="firstRow">
      <w:rPr>
        <w:b/>
        <w:bCs/>
      </w:rPr>
      <w:tblPr/>
      <w:tcPr>
        <w:tcBorders>
          <w:top w:val="nil"/>
          <w:left w:val="nil"/>
          <w:bottom w:val="single" w:sz="24" w:space="0" w:color="3AAA35"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87906" w:themeFill="accent5" w:themeFillShade="99"/>
      </w:tcPr>
    </w:tblStylePr>
    <w:tblStylePr w:type="firstCol">
      <w:rPr>
        <w:color w:val="FFFFFF" w:themeColor="background1"/>
      </w:rPr>
      <w:tblPr/>
      <w:tcPr>
        <w:tcBorders>
          <w:top w:val="nil"/>
          <w:left w:val="nil"/>
          <w:bottom w:val="nil"/>
          <w:right w:val="nil"/>
          <w:insideH w:val="single" w:sz="4" w:space="0" w:color="687906" w:themeColor="accent5" w:themeShade="99"/>
          <w:insideV w:val="nil"/>
        </w:tcBorders>
        <w:shd w:val="clear" w:color="auto" w:fill="687906"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687906" w:themeFill="accent5" w:themeFillShade="99"/>
      </w:tcPr>
    </w:tblStylePr>
    <w:tblStylePr w:type="band1Vert">
      <w:tblPr/>
      <w:tcPr>
        <w:shd w:val="clear" w:color="auto" w:fill="E9F88E" w:themeFill="accent5" w:themeFillTint="66"/>
      </w:tcPr>
    </w:tblStylePr>
    <w:tblStylePr w:type="band1Horz">
      <w:tblPr/>
      <w:tcPr>
        <w:shd w:val="clear" w:color="auto" w:fill="E4F772" w:themeFill="accent5" w:themeFillTint="7F"/>
      </w:tcPr>
    </w:tblStylePr>
    <w:tblStylePr w:type="neCell">
      <w:rPr>
        <w:color w:val="30353F" w:themeColor="text1"/>
      </w:rPr>
    </w:tblStylePr>
    <w:tblStylePr w:type="nwCell">
      <w:rPr>
        <w:color w:val="30353F" w:themeColor="text1"/>
      </w:rPr>
    </w:tblStylePr>
  </w:style>
  <w:style w:type="table" w:styleId="ColorfulShading-Accent6">
    <w:name w:val="Colorful Shading Accent 6"/>
    <w:basedOn w:val="TableNormal"/>
    <w:uiPriority w:val="71"/>
    <w:semiHidden/>
    <w:unhideWhenUsed/>
    <w:rsid w:val="00DF245D"/>
    <w:pPr>
      <w:spacing w:after="0" w:line="240" w:lineRule="auto"/>
    </w:pPr>
    <w:rPr>
      <w:color w:val="30353F" w:themeColor="text1"/>
    </w:rPr>
    <w:tblPr>
      <w:tblStyleRowBandSize w:val="1"/>
      <w:tblStyleColBandSize w:val="1"/>
      <w:tblBorders>
        <w:top w:val="single" w:sz="24" w:space="0" w:color="AFCA0B" w:themeColor="accent5"/>
        <w:left w:val="single" w:sz="4" w:space="0" w:color="3AAA35" w:themeColor="accent6"/>
        <w:bottom w:val="single" w:sz="4" w:space="0" w:color="3AAA35" w:themeColor="accent6"/>
        <w:right w:val="single" w:sz="4" w:space="0" w:color="3AAA35" w:themeColor="accent6"/>
        <w:insideH w:val="single" w:sz="4" w:space="0" w:color="FFFFFF" w:themeColor="background1"/>
        <w:insideV w:val="single" w:sz="4" w:space="0" w:color="FFFFFF" w:themeColor="background1"/>
      </w:tblBorders>
    </w:tblPr>
    <w:tcPr>
      <w:shd w:val="clear" w:color="auto" w:fill="E9F8E9" w:themeFill="accent6" w:themeFillTint="19"/>
    </w:tcPr>
    <w:tblStylePr w:type="firstRow">
      <w:rPr>
        <w:b/>
        <w:bCs/>
      </w:rPr>
      <w:tblPr/>
      <w:tcPr>
        <w:tcBorders>
          <w:top w:val="nil"/>
          <w:left w:val="nil"/>
          <w:bottom w:val="single" w:sz="24" w:space="0" w:color="AFCA0B"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2651F" w:themeFill="accent6" w:themeFillShade="99"/>
      </w:tcPr>
    </w:tblStylePr>
    <w:tblStylePr w:type="firstCol">
      <w:rPr>
        <w:color w:val="FFFFFF" w:themeColor="background1"/>
      </w:rPr>
      <w:tblPr/>
      <w:tcPr>
        <w:tcBorders>
          <w:top w:val="nil"/>
          <w:left w:val="nil"/>
          <w:bottom w:val="nil"/>
          <w:right w:val="nil"/>
          <w:insideH w:val="single" w:sz="4" w:space="0" w:color="22651F" w:themeColor="accent6" w:themeShade="99"/>
          <w:insideV w:val="nil"/>
        </w:tcBorders>
        <w:shd w:val="clear" w:color="auto" w:fill="22651F"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22651F" w:themeFill="accent6" w:themeFillShade="99"/>
      </w:tcPr>
    </w:tblStylePr>
    <w:tblStylePr w:type="band1Vert">
      <w:tblPr/>
      <w:tcPr>
        <w:shd w:val="clear" w:color="auto" w:fill="A9E3A7" w:themeFill="accent6" w:themeFillTint="66"/>
      </w:tcPr>
    </w:tblStylePr>
    <w:tblStylePr w:type="band1Horz">
      <w:tblPr/>
      <w:tcPr>
        <w:shd w:val="clear" w:color="auto" w:fill="94DD92" w:themeFill="accent6" w:themeFillTint="7F"/>
      </w:tcPr>
    </w:tblStylePr>
    <w:tblStylePr w:type="neCell">
      <w:rPr>
        <w:color w:val="30353F" w:themeColor="text1"/>
      </w:rPr>
    </w:tblStylePr>
    <w:tblStylePr w:type="nwCell">
      <w:rPr>
        <w:color w:val="30353F" w:themeColor="text1"/>
      </w:rPr>
    </w:tblStylePr>
  </w:style>
  <w:style w:type="character" w:styleId="CommentReference">
    <w:name w:val="annotation reference"/>
    <w:basedOn w:val="DefaultParagraphFont"/>
    <w:uiPriority w:val="99"/>
    <w:semiHidden/>
    <w:unhideWhenUsed/>
    <w:rsid w:val="00DF245D"/>
    <w:rPr>
      <w:sz w:val="16"/>
      <w:szCs w:val="16"/>
    </w:rPr>
  </w:style>
  <w:style w:type="paragraph" w:styleId="CommentText">
    <w:name w:val="annotation text"/>
    <w:basedOn w:val="Normal"/>
    <w:link w:val="CommentTextChar"/>
    <w:uiPriority w:val="99"/>
    <w:unhideWhenUsed/>
    <w:rsid w:val="00DF245D"/>
    <w:pPr>
      <w:spacing w:line="240" w:lineRule="auto"/>
    </w:pPr>
    <w:rPr>
      <w:sz w:val="20"/>
      <w:szCs w:val="20"/>
    </w:rPr>
  </w:style>
  <w:style w:type="character" w:customStyle="1" w:styleId="CommentTextChar">
    <w:name w:val="Comment Text Char"/>
    <w:basedOn w:val="DefaultParagraphFont"/>
    <w:link w:val="CommentText"/>
    <w:uiPriority w:val="99"/>
    <w:rsid w:val="00DF245D"/>
    <w:rPr>
      <w:rFonts w:ascii="Calibri" w:hAnsi="Calibri"/>
      <w:sz w:val="20"/>
      <w:szCs w:val="20"/>
    </w:rPr>
  </w:style>
  <w:style w:type="paragraph" w:styleId="CommentSubject">
    <w:name w:val="annotation subject"/>
    <w:basedOn w:val="CommentText"/>
    <w:next w:val="CommentText"/>
    <w:link w:val="CommentSubjectChar"/>
    <w:uiPriority w:val="99"/>
    <w:semiHidden/>
    <w:unhideWhenUsed/>
    <w:rsid w:val="00DF245D"/>
    <w:rPr>
      <w:b/>
      <w:bCs/>
    </w:rPr>
  </w:style>
  <w:style w:type="character" w:customStyle="1" w:styleId="CommentSubjectChar">
    <w:name w:val="Comment Subject Char"/>
    <w:basedOn w:val="CommentTextChar"/>
    <w:link w:val="CommentSubject"/>
    <w:uiPriority w:val="99"/>
    <w:semiHidden/>
    <w:rsid w:val="00DF245D"/>
    <w:rPr>
      <w:rFonts w:ascii="Calibri" w:hAnsi="Calibri"/>
      <w:b/>
      <w:bCs/>
      <w:sz w:val="20"/>
      <w:szCs w:val="20"/>
    </w:rPr>
  </w:style>
  <w:style w:type="table" w:styleId="DarkList">
    <w:name w:val="Dark List"/>
    <w:basedOn w:val="TableNormal"/>
    <w:uiPriority w:val="70"/>
    <w:semiHidden/>
    <w:unhideWhenUsed/>
    <w:rsid w:val="00DF245D"/>
    <w:pPr>
      <w:spacing w:after="0" w:line="240" w:lineRule="auto"/>
    </w:pPr>
    <w:rPr>
      <w:color w:val="FFFFFF" w:themeColor="background1"/>
    </w:rPr>
    <w:tblPr>
      <w:tblStyleRowBandSize w:val="1"/>
      <w:tblStyleColBandSize w:val="1"/>
    </w:tblPr>
    <w:tcPr>
      <w:shd w:val="clear" w:color="auto" w:fill="30353F" w:themeFill="text1"/>
    </w:tcPr>
    <w:tblStylePr w:type="firstRow">
      <w:rPr>
        <w:b/>
        <w:bCs/>
      </w:rPr>
      <w:tblPr/>
      <w:tcPr>
        <w:tcBorders>
          <w:top w:val="nil"/>
          <w:left w:val="nil"/>
          <w:bottom w:val="single" w:sz="18" w:space="0" w:color="FFFFFF" w:themeColor="background1"/>
          <w:right w:val="nil"/>
          <w:insideH w:val="nil"/>
          <w:insideV w:val="nil"/>
        </w:tcBorders>
        <w:shd w:val="clear" w:color="auto" w:fill="30353F" w:themeFill="text1"/>
      </w:tcPr>
    </w:tblStylePr>
    <w:tblStylePr w:type="lastRow">
      <w:tblPr/>
      <w:tcPr>
        <w:tcBorders>
          <w:top w:val="single" w:sz="18" w:space="0" w:color="FFFFFF" w:themeColor="background1"/>
          <w:left w:val="nil"/>
          <w:bottom w:val="nil"/>
          <w:right w:val="nil"/>
          <w:insideH w:val="nil"/>
          <w:insideV w:val="nil"/>
        </w:tcBorders>
        <w:shd w:val="clear" w:color="auto" w:fill="171A1F"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24272F"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24272F" w:themeFill="text1" w:themeFillShade="BF"/>
      </w:tcPr>
    </w:tblStylePr>
    <w:tblStylePr w:type="band1Vert">
      <w:tblPr/>
      <w:tcPr>
        <w:tcBorders>
          <w:top w:val="nil"/>
          <w:left w:val="nil"/>
          <w:bottom w:val="nil"/>
          <w:right w:val="nil"/>
          <w:insideH w:val="nil"/>
          <w:insideV w:val="nil"/>
        </w:tcBorders>
        <w:shd w:val="clear" w:color="auto" w:fill="24272F" w:themeFill="text1" w:themeFillShade="BF"/>
      </w:tcPr>
    </w:tblStylePr>
    <w:tblStylePr w:type="band1Horz">
      <w:tblPr/>
      <w:tcPr>
        <w:tcBorders>
          <w:top w:val="nil"/>
          <w:left w:val="nil"/>
          <w:bottom w:val="nil"/>
          <w:right w:val="nil"/>
          <w:insideH w:val="nil"/>
          <w:insideV w:val="nil"/>
        </w:tcBorders>
        <w:shd w:val="clear" w:color="auto" w:fill="24272F" w:themeFill="text1" w:themeFillShade="BF"/>
      </w:tcPr>
    </w:tblStylePr>
  </w:style>
  <w:style w:type="table" w:styleId="DarkList-Accent1">
    <w:name w:val="Dark List Accent 1"/>
    <w:basedOn w:val="TableNormal"/>
    <w:uiPriority w:val="70"/>
    <w:semiHidden/>
    <w:unhideWhenUsed/>
    <w:rsid w:val="00DF245D"/>
    <w:pPr>
      <w:spacing w:after="0" w:line="240" w:lineRule="auto"/>
    </w:pPr>
    <w:rPr>
      <w:color w:val="FFFFFF" w:themeColor="background1"/>
    </w:rPr>
    <w:tblPr>
      <w:tblStyleRowBandSize w:val="1"/>
      <w:tblStyleColBandSize w:val="1"/>
    </w:tblPr>
    <w:tcPr>
      <w:shd w:val="clear" w:color="auto" w:fill="0094C5"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30353F" w:themeFill="text1"/>
      </w:tcPr>
    </w:tblStylePr>
    <w:tblStylePr w:type="lastRow">
      <w:tblPr/>
      <w:tcPr>
        <w:tcBorders>
          <w:top w:val="single" w:sz="18" w:space="0" w:color="FFFFFF" w:themeColor="background1"/>
          <w:left w:val="nil"/>
          <w:bottom w:val="nil"/>
          <w:right w:val="nil"/>
          <w:insideH w:val="nil"/>
          <w:insideV w:val="nil"/>
        </w:tcBorders>
        <w:shd w:val="clear" w:color="auto" w:fill="004962"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6E93"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6E93" w:themeFill="accent1" w:themeFillShade="BF"/>
      </w:tcPr>
    </w:tblStylePr>
    <w:tblStylePr w:type="band1Vert">
      <w:tblPr/>
      <w:tcPr>
        <w:tcBorders>
          <w:top w:val="nil"/>
          <w:left w:val="nil"/>
          <w:bottom w:val="nil"/>
          <w:right w:val="nil"/>
          <w:insideH w:val="nil"/>
          <w:insideV w:val="nil"/>
        </w:tcBorders>
        <w:shd w:val="clear" w:color="auto" w:fill="006E93" w:themeFill="accent1" w:themeFillShade="BF"/>
      </w:tcPr>
    </w:tblStylePr>
    <w:tblStylePr w:type="band1Horz">
      <w:tblPr/>
      <w:tcPr>
        <w:tcBorders>
          <w:top w:val="nil"/>
          <w:left w:val="nil"/>
          <w:bottom w:val="nil"/>
          <w:right w:val="nil"/>
          <w:insideH w:val="nil"/>
          <w:insideV w:val="nil"/>
        </w:tcBorders>
        <w:shd w:val="clear" w:color="auto" w:fill="006E93" w:themeFill="accent1" w:themeFillShade="BF"/>
      </w:tcPr>
    </w:tblStylePr>
  </w:style>
  <w:style w:type="table" w:styleId="DarkList-Accent2">
    <w:name w:val="Dark List Accent 2"/>
    <w:basedOn w:val="TableNormal"/>
    <w:uiPriority w:val="70"/>
    <w:semiHidden/>
    <w:unhideWhenUsed/>
    <w:rsid w:val="00DF245D"/>
    <w:pPr>
      <w:spacing w:after="0" w:line="240" w:lineRule="auto"/>
    </w:pPr>
    <w:rPr>
      <w:color w:val="FFFFFF" w:themeColor="background1"/>
    </w:rPr>
    <w:tblPr>
      <w:tblStyleRowBandSize w:val="1"/>
      <w:tblStyleColBandSize w:val="1"/>
    </w:tblPr>
    <w:tcPr>
      <w:shd w:val="clear" w:color="auto" w:fill="E5006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30353F" w:themeFill="text1"/>
      </w:tcPr>
    </w:tblStylePr>
    <w:tblStylePr w:type="lastRow">
      <w:tblPr/>
      <w:tcPr>
        <w:tcBorders>
          <w:top w:val="single" w:sz="18" w:space="0" w:color="FFFFFF" w:themeColor="background1"/>
          <w:left w:val="nil"/>
          <w:bottom w:val="nil"/>
          <w:right w:val="nil"/>
          <w:insideH w:val="nil"/>
          <w:insideV w:val="nil"/>
        </w:tcBorders>
        <w:shd w:val="clear" w:color="auto" w:fill="720036"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AB005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AB0051" w:themeFill="accent2" w:themeFillShade="BF"/>
      </w:tcPr>
    </w:tblStylePr>
    <w:tblStylePr w:type="band1Vert">
      <w:tblPr/>
      <w:tcPr>
        <w:tcBorders>
          <w:top w:val="nil"/>
          <w:left w:val="nil"/>
          <w:bottom w:val="nil"/>
          <w:right w:val="nil"/>
          <w:insideH w:val="nil"/>
          <w:insideV w:val="nil"/>
        </w:tcBorders>
        <w:shd w:val="clear" w:color="auto" w:fill="AB0051" w:themeFill="accent2" w:themeFillShade="BF"/>
      </w:tcPr>
    </w:tblStylePr>
    <w:tblStylePr w:type="band1Horz">
      <w:tblPr/>
      <w:tcPr>
        <w:tcBorders>
          <w:top w:val="nil"/>
          <w:left w:val="nil"/>
          <w:bottom w:val="nil"/>
          <w:right w:val="nil"/>
          <w:insideH w:val="nil"/>
          <w:insideV w:val="nil"/>
        </w:tcBorders>
        <w:shd w:val="clear" w:color="auto" w:fill="AB0051" w:themeFill="accent2" w:themeFillShade="BF"/>
      </w:tcPr>
    </w:tblStylePr>
  </w:style>
  <w:style w:type="table" w:styleId="DarkList-Accent3">
    <w:name w:val="Dark List Accent 3"/>
    <w:basedOn w:val="TableNormal"/>
    <w:uiPriority w:val="70"/>
    <w:semiHidden/>
    <w:unhideWhenUsed/>
    <w:rsid w:val="00DF245D"/>
    <w:pPr>
      <w:spacing w:after="0" w:line="240" w:lineRule="auto"/>
    </w:pPr>
    <w:rPr>
      <w:color w:val="FFFFFF" w:themeColor="background1"/>
    </w:rPr>
    <w:tblPr>
      <w:tblStyleRowBandSize w:val="1"/>
      <w:tblStyleColBandSize w:val="1"/>
    </w:tblPr>
    <w:tcPr>
      <w:shd w:val="clear" w:color="auto" w:fill="2C2276"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30353F" w:themeFill="text1"/>
      </w:tcPr>
    </w:tblStylePr>
    <w:tblStylePr w:type="lastRow">
      <w:tblPr/>
      <w:tcPr>
        <w:tcBorders>
          <w:top w:val="single" w:sz="18" w:space="0" w:color="FFFFFF" w:themeColor="background1"/>
          <w:left w:val="nil"/>
          <w:bottom w:val="nil"/>
          <w:right w:val="nil"/>
          <w:insideH w:val="nil"/>
          <w:insideV w:val="nil"/>
        </w:tcBorders>
        <w:shd w:val="clear" w:color="auto" w:fill="15113A"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201958"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201958" w:themeFill="accent3" w:themeFillShade="BF"/>
      </w:tcPr>
    </w:tblStylePr>
    <w:tblStylePr w:type="band1Vert">
      <w:tblPr/>
      <w:tcPr>
        <w:tcBorders>
          <w:top w:val="nil"/>
          <w:left w:val="nil"/>
          <w:bottom w:val="nil"/>
          <w:right w:val="nil"/>
          <w:insideH w:val="nil"/>
          <w:insideV w:val="nil"/>
        </w:tcBorders>
        <w:shd w:val="clear" w:color="auto" w:fill="201958" w:themeFill="accent3" w:themeFillShade="BF"/>
      </w:tcPr>
    </w:tblStylePr>
    <w:tblStylePr w:type="band1Horz">
      <w:tblPr/>
      <w:tcPr>
        <w:tcBorders>
          <w:top w:val="nil"/>
          <w:left w:val="nil"/>
          <w:bottom w:val="nil"/>
          <w:right w:val="nil"/>
          <w:insideH w:val="nil"/>
          <w:insideV w:val="nil"/>
        </w:tcBorders>
        <w:shd w:val="clear" w:color="auto" w:fill="201958" w:themeFill="accent3" w:themeFillShade="BF"/>
      </w:tcPr>
    </w:tblStylePr>
  </w:style>
  <w:style w:type="table" w:styleId="DarkList-Accent4">
    <w:name w:val="Dark List Accent 4"/>
    <w:basedOn w:val="TableNormal"/>
    <w:uiPriority w:val="70"/>
    <w:semiHidden/>
    <w:unhideWhenUsed/>
    <w:rsid w:val="00DF245D"/>
    <w:pPr>
      <w:spacing w:after="0" w:line="240" w:lineRule="auto"/>
    </w:pPr>
    <w:rPr>
      <w:color w:val="FFFFFF" w:themeColor="background1"/>
    </w:rPr>
    <w:tblPr>
      <w:tblStyleRowBandSize w:val="1"/>
      <w:tblStyleColBandSize w:val="1"/>
    </w:tblPr>
    <w:tcPr>
      <w:shd w:val="clear" w:color="auto" w:fill="7B1244"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30353F" w:themeFill="text1"/>
      </w:tcPr>
    </w:tblStylePr>
    <w:tblStylePr w:type="lastRow">
      <w:tblPr/>
      <w:tcPr>
        <w:tcBorders>
          <w:top w:val="single" w:sz="18" w:space="0" w:color="FFFFFF" w:themeColor="background1"/>
          <w:left w:val="nil"/>
          <w:bottom w:val="nil"/>
          <w:right w:val="nil"/>
          <w:insideH w:val="nil"/>
          <w:insideV w:val="nil"/>
        </w:tcBorders>
        <w:shd w:val="clear" w:color="auto" w:fill="3D092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B0D32"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B0D32" w:themeFill="accent4" w:themeFillShade="BF"/>
      </w:tcPr>
    </w:tblStylePr>
    <w:tblStylePr w:type="band1Vert">
      <w:tblPr/>
      <w:tcPr>
        <w:tcBorders>
          <w:top w:val="nil"/>
          <w:left w:val="nil"/>
          <w:bottom w:val="nil"/>
          <w:right w:val="nil"/>
          <w:insideH w:val="nil"/>
          <w:insideV w:val="nil"/>
        </w:tcBorders>
        <w:shd w:val="clear" w:color="auto" w:fill="5B0D32" w:themeFill="accent4" w:themeFillShade="BF"/>
      </w:tcPr>
    </w:tblStylePr>
    <w:tblStylePr w:type="band1Horz">
      <w:tblPr/>
      <w:tcPr>
        <w:tcBorders>
          <w:top w:val="nil"/>
          <w:left w:val="nil"/>
          <w:bottom w:val="nil"/>
          <w:right w:val="nil"/>
          <w:insideH w:val="nil"/>
          <w:insideV w:val="nil"/>
        </w:tcBorders>
        <w:shd w:val="clear" w:color="auto" w:fill="5B0D32" w:themeFill="accent4" w:themeFillShade="BF"/>
      </w:tcPr>
    </w:tblStylePr>
  </w:style>
  <w:style w:type="table" w:styleId="DarkList-Accent5">
    <w:name w:val="Dark List Accent 5"/>
    <w:basedOn w:val="TableNormal"/>
    <w:uiPriority w:val="70"/>
    <w:semiHidden/>
    <w:unhideWhenUsed/>
    <w:rsid w:val="00DF245D"/>
    <w:pPr>
      <w:spacing w:after="0" w:line="240" w:lineRule="auto"/>
    </w:pPr>
    <w:rPr>
      <w:color w:val="FFFFFF" w:themeColor="background1"/>
    </w:rPr>
    <w:tblPr>
      <w:tblStyleRowBandSize w:val="1"/>
      <w:tblStyleColBandSize w:val="1"/>
    </w:tblPr>
    <w:tcPr>
      <w:shd w:val="clear" w:color="auto" w:fill="AFCA0B"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30353F" w:themeFill="text1"/>
      </w:tcPr>
    </w:tblStylePr>
    <w:tblStylePr w:type="lastRow">
      <w:tblPr/>
      <w:tcPr>
        <w:tcBorders>
          <w:top w:val="single" w:sz="18" w:space="0" w:color="FFFFFF" w:themeColor="background1"/>
          <w:left w:val="nil"/>
          <w:bottom w:val="nil"/>
          <w:right w:val="nil"/>
          <w:insideH w:val="nil"/>
          <w:insideV w:val="nil"/>
        </w:tcBorders>
        <w:shd w:val="clear" w:color="auto" w:fill="566405"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829708"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829708" w:themeFill="accent5" w:themeFillShade="BF"/>
      </w:tcPr>
    </w:tblStylePr>
    <w:tblStylePr w:type="band1Vert">
      <w:tblPr/>
      <w:tcPr>
        <w:tcBorders>
          <w:top w:val="nil"/>
          <w:left w:val="nil"/>
          <w:bottom w:val="nil"/>
          <w:right w:val="nil"/>
          <w:insideH w:val="nil"/>
          <w:insideV w:val="nil"/>
        </w:tcBorders>
        <w:shd w:val="clear" w:color="auto" w:fill="829708" w:themeFill="accent5" w:themeFillShade="BF"/>
      </w:tcPr>
    </w:tblStylePr>
    <w:tblStylePr w:type="band1Horz">
      <w:tblPr/>
      <w:tcPr>
        <w:tcBorders>
          <w:top w:val="nil"/>
          <w:left w:val="nil"/>
          <w:bottom w:val="nil"/>
          <w:right w:val="nil"/>
          <w:insideH w:val="nil"/>
          <w:insideV w:val="nil"/>
        </w:tcBorders>
        <w:shd w:val="clear" w:color="auto" w:fill="829708" w:themeFill="accent5" w:themeFillShade="BF"/>
      </w:tcPr>
    </w:tblStylePr>
  </w:style>
  <w:style w:type="table" w:styleId="DarkList-Accent6">
    <w:name w:val="Dark List Accent 6"/>
    <w:basedOn w:val="TableNormal"/>
    <w:uiPriority w:val="70"/>
    <w:semiHidden/>
    <w:unhideWhenUsed/>
    <w:rsid w:val="00DF245D"/>
    <w:pPr>
      <w:spacing w:after="0" w:line="240" w:lineRule="auto"/>
    </w:pPr>
    <w:rPr>
      <w:color w:val="FFFFFF" w:themeColor="background1"/>
    </w:rPr>
    <w:tblPr>
      <w:tblStyleRowBandSize w:val="1"/>
      <w:tblStyleColBandSize w:val="1"/>
    </w:tblPr>
    <w:tcPr>
      <w:shd w:val="clear" w:color="auto" w:fill="3AAA35"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30353F" w:themeFill="text1"/>
      </w:tcPr>
    </w:tblStylePr>
    <w:tblStylePr w:type="lastRow">
      <w:tblPr/>
      <w:tcPr>
        <w:tcBorders>
          <w:top w:val="single" w:sz="18" w:space="0" w:color="FFFFFF" w:themeColor="background1"/>
          <w:left w:val="nil"/>
          <w:bottom w:val="nil"/>
          <w:right w:val="nil"/>
          <w:insideH w:val="nil"/>
          <w:insideV w:val="nil"/>
        </w:tcBorders>
        <w:shd w:val="clear" w:color="auto" w:fill="1C541A"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2B7F27"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2B7F27" w:themeFill="accent6" w:themeFillShade="BF"/>
      </w:tcPr>
    </w:tblStylePr>
    <w:tblStylePr w:type="band1Vert">
      <w:tblPr/>
      <w:tcPr>
        <w:tcBorders>
          <w:top w:val="nil"/>
          <w:left w:val="nil"/>
          <w:bottom w:val="nil"/>
          <w:right w:val="nil"/>
          <w:insideH w:val="nil"/>
          <w:insideV w:val="nil"/>
        </w:tcBorders>
        <w:shd w:val="clear" w:color="auto" w:fill="2B7F27" w:themeFill="accent6" w:themeFillShade="BF"/>
      </w:tcPr>
    </w:tblStylePr>
    <w:tblStylePr w:type="band1Horz">
      <w:tblPr/>
      <w:tcPr>
        <w:tcBorders>
          <w:top w:val="nil"/>
          <w:left w:val="nil"/>
          <w:bottom w:val="nil"/>
          <w:right w:val="nil"/>
          <w:insideH w:val="nil"/>
          <w:insideV w:val="nil"/>
        </w:tcBorders>
        <w:shd w:val="clear" w:color="auto" w:fill="2B7F27" w:themeFill="accent6" w:themeFillShade="BF"/>
      </w:tcPr>
    </w:tblStylePr>
  </w:style>
  <w:style w:type="paragraph" w:styleId="DocumentMap">
    <w:name w:val="Document Map"/>
    <w:basedOn w:val="Normal"/>
    <w:link w:val="DocumentMapChar"/>
    <w:uiPriority w:val="99"/>
    <w:semiHidden/>
    <w:unhideWhenUsed/>
    <w:rsid w:val="00DF245D"/>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DF245D"/>
    <w:rPr>
      <w:rFonts w:ascii="Segoe UI" w:hAnsi="Segoe UI" w:cs="Segoe UI"/>
      <w:sz w:val="16"/>
      <w:szCs w:val="16"/>
    </w:rPr>
  </w:style>
  <w:style w:type="paragraph" w:styleId="E-mailSignature">
    <w:name w:val="E-mail Signature"/>
    <w:basedOn w:val="Normal"/>
    <w:link w:val="E-mailSignatureChar"/>
    <w:uiPriority w:val="99"/>
    <w:semiHidden/>
    <w:unhideWhenUsed/>
    <w:rsid w:val="00DF245D"/>
    <w:pPr>
      <w:spacing w:after="0" w:line="240" w:lineRule="auto"/>
    </w:pPr>
  </w:style>
  <w:style w:type="character" w:customStyle="1" w:styleId="E-mailSignatureChar">
    <w:name w:val="E-mail Signature Char"/>
    <w:basedOn w:val="DefaultParagraphFont"/>
    <w:link w:val="E-mailSignature"/>
    <w:uiPriority w:val="99"/>
    <w:semiHidden/>
    <w:rsid w:val="00DF245D"/>
    <w:rPr>
      <w:rFonts w:ascii="Calibri" w:hAnsi="Calibri"/>
    </w:rPr>
  </w:style>
  <w:style w:type="character" w:styleId="EndnoteReference">
    <w:name w:val="endnote reference"/>
    <w:basedOn w:val="DefaultParagraphFont"/>
    <w:uiPriority w:val="99"/>
    <w:semiHidden/>
    <w:unhideWhenUsed/>
    <w:rsid w:val="00DF245D"/>
    <w:rPr>
      <w:vertAlign w:val="superscript"/>
    </w:rPr>
  </w:style>
  <w:style w:type="paragraph" w:styleId="EndnoteText">
    <w:name w:val="endnote text"/>
    <w:basedOn w:val="Normal"/>
    <w:link w:val="EndnoteTextChar"/>
    <w:uiPriority w:val="99"/>
    <w:semiHidden/>
    <w:unhideWhenUsed/>
    <w:rsid w:val="00DF245D"/>
    <w:pPr>
      <w:spacing w:after="0" w:line="240" w:lineRule="auto"/>
    </w:pPr>
    <w:rPr>
      <w:sz w:val="20"/>
      <w:szCs w:val="20"/>
    </w:rPr>
  </w:style>
  <w:style w:type="character" w:customStyle="1" w:styleId="EndnoteTextChar">
    <w:name w:val="Endnote Text Char"/>
    <w:basedOn w:val="DefaultParagraphFont"/>
    <w:link w:val="EndnoteText"/>
    <w:uiPriority w:val="99"/>
    <w:semiHidden/>
    <w:rsid w:val="00DF245D"/>
    <w:rPr>
      <w:rFonts w:ascii="Calibri" w:hAnsi="Calibri"/>
      <w:sz w:val="20"/>
      <w:szCs w:val="20"/>
    </w:rPr>
  </w:style>
  <w:style w:type="paragraph" w:styleId="EnvelopeAddress">
    <w:name w:val="envelope address"/>
    <w:basedOn w:val="Normal"/>
    <w:uiPriority w:val="99"/>
    <w:semiHidden/>
    <w:unhideWhenUsed/>
    <w:rsid w:val="00DF245D"/>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DF245D"/>
    <w:pPr>
      <w:spacing w:after="0" w:line="240" w:lineRule="auto"/>
    </w:pPr>
    <w:rPr>
      <w:rFonts w:asciiTheme="majorHAnsi" w:eastAsiaTheme="majorEastAsia" w:hAnsiTheme="majorHAnsi" w:cstheme="majorBidi"/>
      <w:sz w:val="20"/>
      <w:szCs w:val="20"/>
    </w:rPr>
  </w:style>
  <w:style w:type="table" w:styleId="GridTable1Light-Accent1">
    <w:name w:val="Grid Table 1 Light Accent 1"/>
    <w:basedOn w:val="TableNormal"/>
    <w:uiPriority w:val="46"/>
    <w:rsid w:val="00916CFA"/>
    <w:pPr>
      <w:spacing w:after="0" w:line="240" w:lineRule="auto"/>
    </w:pPr>
    <w:tblPr>
      <w:tblStyleRowBandSize w:val="1"/>
      <w:tblStyleColBandSize w:val="1"/>
      <w:tblInd w:w="851" w:type="dxa"/>
      <w:tblBorders>
        <w:top w:val="single" w:sz="4" w:space="0" w:color="81DFFF" w:themeColor="accent1" w:themeTint="66"/>
        <w:left w:val="single" w:sz="4" w:space="0" w:color="81DFFF" w:themeColor="accent1" w:themeTint="66"/>
        <w:bottom w:val="single" w:sz="4" w:space="0" w:color="81DFFF" w:themeColor="accent1" w:themeTint="66"/>
        <w:right w:val="single" w:sz="4" w:space="0" w:color="81DFFF" w:themeColor="accent1" w:themeTint="66"/>
        <w:insideH w:val="single" w:sz="4" w:space="0" w:color="81DFFF" w:themeColor="accent1" w:themeTint="66"/>
        <w:insideV w:val="single" w:sz="4" w:space="0" w:color="81DFFF" w:themeColor="accent1" w:themeTint="66"/>
      </w:tblBorders>
    </w:tblPr>
    <w:tblStylePr w:type="firstRow">
      <w:rPr>
        <w:b/>
        <w:bCs/>
      </w:rPr>
      <w:tblPr/>
      <w:tcPr>
        <w:tcBorders>
          <w:bottom w:val="single" w:sz="12" w:space="0" w:color="43CFFF" w:themeColor="accent1" w:themeTint="99"/>
        </w:tcBorders>
      </w:tcPr>
    </w:tblStylePr>
    <w:tblStylePr w:type="lastRow">
      <w:rPr>
        <w:b/>
        <w:bCs/>
      </w:rPr>
      <w:tblPr/>
      <w:tcPr>
        <w:tcBorders>
          <w:top w:val="double" w:sz="2" w:space="0" w:color="43CFFF"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916CFA"/>
    <w:pPr>
      <w:spacing w:after="0" w:line="240" w:lineRule="auto"/>
    </w:pPr>
    <w:tblPr>
      <w:tblStyleRowBandSize w:val="1"/>
      <w:tblStyleColBandSize w:val="1"/>
      <w:tblInd w:w="851" w:type="dxa"/>
      <w:tblBorders>
        <w:top w:val="single" w:sz="4" w:space="0" w:color="FF8EC3" w:themeColor="accent2" w:themeTint="66"/>
        <w:left w:val="single" w:sz="4" w:space="0" w:color="FF8EC3" w:themeColor="accent2" w:themeTint="66"/>
        <w:bottom w:val="single" w:sz="4" w:space="0" w:color="FF8EC3" w:themeColor="accent2" w:themeTint="66"/>
        <w:right w:val="single" w:sz="4" w:space="0" w:color="FF8EC3" w:themeColor="accent2" w:themeTint="66"/>
        <w:insideH w:val="single" w:sz="4" w:space="0" w:color="FF8EC3" w:themeColor="accent2" w:themeTint="66"/>
        <w:insideV w:val="single" w:sz="4" w:space="0" w:color="FF8EC3" w:themeColor="accent2" w:themeTint="66"/>
      </w:tblBorders>
    </w:tblPr>
    <w:tblStylePr w:type="firstRow">
      <w:rPr>
        <w:b/>
        <w:bCs/>
      </w:rPr>
      <w:tblPr/>
      <w:tcPr>
        <w:tcBorders>
          <w:bottom w:val="single" w:sz="12" w:space="0" w:color="FF56A6" w:themeColor="accent2" w:themeTint="99"/>
        </w:tcBorders>
      </w:tcPr>
    </w:tblStylePr>
    <w:tblStylePr w:type="lastRow">
      <w:rPr>
        <w:b/>
        <w:bCs/>
      </w:rPr>
      <w:tblPr/>
      <w:tcPr>
        <w:tcBorders>
          <w:top w:val="double" w:sz="2" w:space="0" w:color="FF56A6"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916CFA"/>
    <w:pPr>
      <w:spacing w:after="0" w:line="240" w:lineRule="auto"/>
    </w:pPr>
    <w:tblPr>
      <w:tblStyleRowBandSize w:val="1"/>
      <w:tblStyleColBandSize w:val="1"/>
      <w:tblInd w:w="851" w:type="dxa"/>
      <w:tblBorders>
        <w:top w:val="single" w:sz="4" w:space="0" w:color="998FDF" w:themeColor="accent3" w:themeTint="66"/>
        <w:left w:val="single" w:sz="4" w:space="0" w:color="998FDF" w:themeColor="accent3" w:themeTint="66"/>
        <w:bottom w:val="single" w:sz="4" w:space="0" w:color="998FDF" w:themeColor="accent3" w:themeTint="66"/>
        <w:right w:val="single" w:sz="4" w:space="0" w:color="998FDF" w:themeColor="accent3" w:themeTint="66"/>
        <w:insideH w:val="single" w:sz="4" w:space="0" w:color="998FDF" w:themeColor="accent3" w:themeTint="66"/>
        <w:insideV w:val="single" w:sz="4" w:space="0" w:color="998FDF" w:themeColor="accent3" w:themeTint="66"/>
      </w:tblBorders>
    </w:tblPr>
    <w:tblStylePr w:type="firstRow">
      <w:rPr>
        <w:b/>
        <w:bCs/>
      </w:rPr>
      <w:tblPr/>
      <w:tcPr>
        <w:tcBorders>
          <w:bottom w:val="single" w:sz="12" w:space="0" w:color="6658CF" w:themeColor="accent3" w:themeTint="99"/>
        </w:tcBorders>
      </w:tcPr>
    </w:tblStylePr>
    <w:tblStylePr w:type="lastRow">
      <w:rPr>
        <w:b/>
        <w:bCs/>
      </w:rPr>
      <w:tblPr/>
      <w:tcPr>
        <w:tcBorders>
          <w:top w:val="double" w:sz="2" w:space="0" w:color="6658CF"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916CFA"/>
    <w:pPr>
      <w:spacing w:after="0" w:line="240" w:lineRule="auto"/>
    </w:pPr>
    <w:tblPr>
      <w:tblStyleRowBandSize w:val="1"/>
      <w:tblStyleColBandSize w:val="1"/>
      <w:tblInd w:w="851" w:type="dxa"/>
      <w:tblBorders>
        <w:top w:val="single" w:sz="4" w:space="0" w:color="EC7EB2" w:themeColor="accent4" w:themeTint="66"/>
        <w:left w:val="single" w:sz="4" w:space="0" w:color="EC7EB2" w:themeColor="accent4" w:themeTint="66"/>
        <w:bottom w:val="single" w:sz="4" w:space="0" w:color="EC7EB2" w:themeColor="accent4" w:themeTint="66"/>
        <w:right w:val="single" w:sz="4" w:space="0" w:color="EC7EB2" w:themeColor="accent4" w:themeTint="66"/>
        <w:insideH w:val="single" w:sz="4" w:space="0" w:color="EC7EB2" w:themeColor="accent4" w:themeTint="66"/>
        <w:insideV w:val="single" w:sz="4" w:space="0" w:color="EC7EB2" w:themeColor="accent4" w:themeTint="66"/>
      </w:tblBorders>
    </w:tblPr>
    <w:tblStylePr w:type="firstRow">
      <w:rPr>
        <w:b/>
        <w:bCs/>
      </w:rPr>
      <w:tblPr/>
      <w:tcPr>
        <w:tcBorders>
          <w:bottom w:val="single" w:sz="12" w:space="0" w:color="E23D8B" w:themeColor="accent4" w:themeTint="99"/>
        </w:tcBorders>
      </w:tcPr>
    </w:tblStylePr>
    <w:tblStylePr w:type="lastRow">
      <w:rPr>
        <w:b/>
        <w:bCs/>
      </w:rPr>
      <w:tblPr/>
      <w:tcPr>
        <w:tcBorders>
          <w:top w:val="double" w:sz="2" w:space="0" w:color="E23D8B"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916CFA"/>
    <w:pPr>
      <w:spacing w:after="0" w:line="240" w:lineRule="auto"/>
    </w:pPr>
    <w:tblPr>
      <w:tblStyleRowBandSize w:val="1"/>
      <w:tblStyleColBandSize w:val="1"/>
      <w:tblInd w:w="851" w:type="dxa"/>
      <w:tblBorders>
        <w:top w:val="single" w:sz="4" w:space="0" w:color="E9F88E" w:themeColor="accent5" w:themeTint="66"/>
        <w:left w:val="single" w:sz="4" w:space="0" w:color="E9F88E" w:themeColor="accent5" w:themeTint="66"/>
        <w:bottom w:val="single" w:sz="4" w:space="0" w:color="E9F88E" w:themeColor="accent5" w:themeTint="66"/>
        <w:right w:val="single" w:sz="4" w:space="0" w:color="E9F88E" w:themeColor="accent5" w:themeTint="66"/>
        <w:insideH w:val="single" w:sz="4" w:space="0" w:color="E9F88E" w:themeColor="accent5" w:themeTint="66"/>
        <w:insideV w:val="single" w:sz="4" w:space="0" w:color="E9F88E" w:themeColor="accent5" w:themeTint="66"/>
      </w:tblBorders>
    </w:tblPr>
    <w:tblStylePr w:type="firstRow">
      <w:rPr>
        <w:b/>
        <w:bCs/>
      </w:rPr>
      <w:tblPr/>
      <w:tcPr>
        <w:tcBorders>
          <w:bottom w:val="single" w:sz="12" w:space="0" w:color="DEF555" w:themeColor="accent5" w:themeTint="99"/>
        </w:tcBorders>
      </w:tcPr>
    </w:tblStylePr>
    <w:tblStylePr w:type="lastRow">
      <w:rPr>
        <w:b/>
        <w:bCs/>
      </w:rPr>
      <w:tblPr/>
      <w:tcPr>
        <w:tcBorders>
          <w:top w:val="double" w:sz="2" w:space="0" w:color="DEF555"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DF245D"/>
    <w:pPr>
      <w:spacing w:after="0" w:line="240" w:lineRule="auto"/>
    </w:pPr>
    <w:tblPr>
      <w:tblStyleRowBandSize w:val="1"/>
      <w:tblStyleColBandSize w:val="1"/>
      <w:tblBorders>
        <w:top w:val="single" w:sz="4" w:space="0" w:color="A9E3A7" w:themeColor="accent6" w:themeTint="66"/>
        <w:left w:val="single" w:sz="4" w:space="0" w:color="A9E3A7" w:themeColor="accent6" w:themeTint="66"/>
        <w:bottom w:val="single" w:sz="4" w:space="0" w:color="A9E3A7" w:themeColor="accent6" w:themeTint="66"/>
        <w:right w:val="single" w:sz="4" w:space="0" w:color="A9E3A7" w:themeColor="accent6" w:themeTint="66"/>
        <w:insideH w:val="single" w:sz="4" w:space="0" w:color="A9E3A7" w:themeColor="accent6" w:themeTint="66"/>
        <w:insideV w:val="single" w:sz="4" w:space="0" w:color="A9E3A7" w:themeColor="accent6" w:themeTint="66"/>
      </w:tblBorders>
    </w:tblPr>
    <w:tblStylePr w:type="firstRow">
      <w:rPr>
        <w:b/>
        <w:bCs/>
      </w:rPr>
      <w:tblPr/>
      <w:tcPr>
        <w:tcBorders>
          <w:bottom w:val="single" w:sz="12" w:space="0" w:color="7FD67B" w:themeColor="accent6" w:themeTint="99"/>
        </w:tcBorders>
      </w:tcPr>
    </w:tblStylePr>
    <w:tblStylePr w:type="lastRow">
      <w:rPr>
        <w:b/>
        <w:bCs/>
      </w:rPr>
      <w:tblPr/>
      <w:tcPr>
        <w:tcBorders>
          <w:top w:val="double" w:sz="2" w:space="0" w:color="7FD67B" w:themeColor="accent6" w:themeTint="99"/>
        </w:tcBorders>
      </w:tcPr>
    </w:tblStylePr>
    <w:tblStylePr w:type="firstCol">
      <w:rPr>
        <w:b/>
        <w:bCs/>
      </w:rPr>
    </w:tblStylePr>
    <w:tblStylePr w:type="lastCol">
      <w:rPr>
        <w:b/>
        <w:bCs/>
      </w:rPr>
    </w:tblStylePr>
  </w:style>
  <w:style w:type="table" w:styleId="GridTable2-Accent1">
    <w:name w:val="Grid Table 2 Accent 1"/>
    <w:basedOn w:val="TableNormal"/>
    <w:uiPriority w:val="47"/>
    <w:rsid w:val="00DF245D"/>
    <w:pPr>
      <w:spacing w:after="0" w:line="240" w:lineRule="auto"/>
    </w:pPr>
    <w:tblPr>
      <w:tblStyleRowBandSize w:val="1"/>
      <w:tblStyleColBandSize w:val="1"/>
      <w:tblBorders>
        <w:top w:val="single" w:sz="2" w:space="0" w:color="43CFFF" w:themeColor="accent1" w:themeTint="99"/>
        <w:bottom w:val="single" w:sz="2" w:space="0" w:color="43CFFF" w:themeColor="accent1" w:themeTint="99"/>
        <w:insideH w:val="single" w:sz="2" w:space="0" w:color="43CFFF" w:themeColor="accent1" w:themeTint="99"/>
        <w:insideV w:val="single" w:sz="2" w:space="0" w:color="43CFFF" w:themeColor="accent1" w:themeTint="99"/>
      </w:tblBorders>
    </w:tblPr>
    <w:tblStylePr w:type="firstRow">
      <w:rPr>
        <w:b/>
        <w:bCs/>
      </w:rPr>
      <w:tblPr/>
      <w:tcPr>
        <w:tcBorders>
          <w:top w:val="nil"/>
          <w:bottom w:val="single" w:sz="12" w:space="0" w:color="43CFFF" w:themeColor="accent1" w:themeTint="99"/>
          <w:insideH w:val="nil"/>
          <w:insideV w:val="nil"/>
        </w:tcBorders>
        <w:shd w:val="clear" w:color="auto" w:fill="FFFFFF" w:themeFill="background1"/>
      </w:tcPr>
    </w:tblStylePr>
    <w:tblStylePr w:type="lastRow">
      <w:rPr>
        <w:b/>
        <w:bCs/>
      </w:rPr>
      <w:tblPr/>
      <w:tcPr>
        <w:tcBorders>
          <w:top w:val="double" w:sz="2" w:space="0" w:color="43CFF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0EFFF" w:themeFill="accent1" w:themeFillTint="33"/>
      </w:tcPr>
    </w:tblStylePr>
    <w:tblStylePr w:type="band1Horz">
      <w:tblPr/>
      <w:tcPr>
        <w:shd w:val="clear" w:color="auto" w:fill="C0EFFF" w:themeFill="accent1" w:themeFillTint="33"/>
      </w:tcPr>
    </w:tblStylePr>
  </w:style>
  <w:style w:type="table" w:styleId="GridTable2-Accent2">
    <w:name w:val="Grid Table 2 Accent 2"/>
    <w:basedOn w:val="TableNormal"/>
    <w:uiPriority w:val="47"/>
    <w:rsid w:val="00DF245D"/>
    <w:pPr>
      <w:spacing w:after="0" w:line="240" w:lineRule="auto"/>
    </w:pPr>
    <w:tblPr>
      <w:tblStyleRowBandSize w:val="1"/>
      <w:tblStyleColBandSize w:val="1"/>
      <w:tblBorders>
        <w:top w:val="single" w:sz="2" w:space="0" w:color="FF56A6" w:themeColor="accent2" w:themeTint="99"/>
        <w:bottom w:val="single" w:sz="2" w:space="0" w:color="FF56A6" w:themeColor="accent2" w:themeTint="99"/>
        <w:insideH w:val="single" w:sz="2" w:space="0" w:color="FF56A6" w:themeColor="accent2" w:themeTint="99"/>
        <w:insideV w:val="single" w:sz="2" w:space="0" w:color="FF56A6" w:themeColor="accent2" w:themeTint="99"/>
      </w:tblBorders>
    </w:tblPr>
    <w:tblStylePr w:type="firstRow">
      <w:rPr>
        <w:b/>
        <w:bCs/>
      </w:rPr>
      <w:tblPr/>
      <w:tcPr>
        <w:tcBorders>
          <w:top w:val="nil"/>
          <w:bottom w:val="single" w:sz="12" w:space="0" w:color="FF56A6" w:themeColor="accent2" w:themeTint="99"/>
          <w:insideH w:val="nil"/>
          <w:insideV w:val="nil"/>
        </w:tcBorders>
        <w:shd w:val="clear" w:color="auto" w:fill="FFFFFF" w:themeFill="background1"/>
      </w:tcPr>
    </w:tblStylePr>
    <w:tblStylePr w:type="lastRow">
      <w:rPr>
        <w:b/>
        <w:bCs/>
      </w:rPr>
      <w:tblPr/>
      <w:tcPr>
        <w:tcBorders>
          <w:top w:val="double" w:sz="2" w:space="0" w:color="FF56A6"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C6E1" w:themeFill="accent2" w:themeFillTint="33"/>
      </w:tcPr>
    </w:tblStylePr>
    <w:tblStylePr w:type="band1Horz">
      <w:tblPr/>
      <w:tcPr>
        <w:shd w:val="clear" w:color="auto" w:fill="FFC6E1" w:themeFill="accent2" w:themeFillTint="33"/>
      </w:tcPr>
    </w:tblStylePr>
  </w:style>
  <w:style w:type="table" w:styleId="GridTable2-Accent3">
    <w:name w:val="Grid Table 2 Accent 3"/>
    <w:basedOn w:val="TableNormal"/>
    <w:uiPriority w:val="47"/>
    <w:rsid w:val="00DF245D"/>
    <w:pPr>
      <w:spacing w:after="0" w:line="240" w:lineRule="auto"/>
    </w:pPr>
    <w:tblPr>
      <w:tblStyleRowBandSize w:val="1"/>
      <w:tblStyleColBandSize w:val="1"/>
      <w:tblBorders>
        <w:top w:val="single" w:sz="2" w:space="0" w:color="6658CF" w:themeColor="accent3" w:themeTint="99"/>
        <w:bottom w:val="single" w:sz="2" w:space="0" w:color="6658CF" w:themeColor="accent3" w:themeTint="99"/>
        <w:insideH w:val="single" w:sz="2" w:space="0" w:color="6658CF" w:themeColor="accent3" w:themeTint="99"/>
        <w:insideV w:val="single" w:sz="2" w:space="0" w:color="6658CF" w:themeColor="accent3" w:themeTint="99"/>
      </w:tblBorders>
    </w:tblPr>
    <w:tblStylePr w:type="firstRow">
      <w:rPr>
        <w:b/>
        <w:bCs/>
      </w:rPr>
      <w:tblPr/>
      <w:tcPr>
        <w:tcBorders>
          <w:top w:val="nil"/>
          <w:bottom w:val="single" w:sz="12" w:space="0" w:color="6658CF" w:themeColor="accent3" w:themeTint="99"/>
          <w:insideH w:val="nil"/>
          <w:insideV w:val="nil"/>
        </w:tcBorders>
        <w:shd w:val="clear" w:color="auto" w:fill="FFFFFF" w:themeFill="background1"/>
      </w:tcPr>
    </w:tblStylePr>
    <w:tblStylePr w:type="lastRow">
      <w:rPr>
        <w:b/>
        <w:bCs/>
      </w:rPr>
      <w:tblPr/>
      <w:tcPr>
        <w:tcBorders>
          <w:top w:val="double" w:sz="2" w:space="0" w:color="6658CF"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7EF" w:themeFill="accent3" w:themeFillTint="33"/>
      </w:tcPr>
    </w:tblStylePr>
    <w:tblStylePr w:type="band1Horz">
      <w:tblPr/>
      <w:tcPr>
        <w:shd w:val="clear" w:color="auto" w:fill="CCC7EF" w:themeFill="accent3" w:themeFillTint="33"/>
      </w:tcPr>
    </w:tblStylePr>
  </w:style>
  <w:style w:type="table" w:styleId="GridTable2-Accent4">
    <w:name w:val="Grid Table 2 Accent 4"/>
    <w:basedOn w:val="TableNormal"/>
    <w:uiPriority w:val="47"/>
    <w:rsid w:val="00DF245D"/>
    <w:pPr>
      <w:spacing w:after="0" w:line="240" w:lineRule="auto"/>
    </w:pPr>
    <w:tblPr>
      <w:tblStyleRowBandSize w:val="1"/>
      <w:tblStyleColBandSize w:val="1"/>
      <w:tblBorders>
        <w:top w:val="single" w:sz="2" w:space="0" w:color="E23D8B" w:themeColor="accent4" w:themeTint="99"/>
        <w:bottom w:val="single" w:sz="2" w:space="0" w:color="E23D8B" w:themeColor="accent4" w:themeTint="99"/>
        <w:insideH w:val="single" w:sz="2" w:space="0" w:color="E23D8B" w:themeColor="accent4" w:themeTint="99"/>
        <w:insideV w:val="single" w:sz="2" w:space="0" w:color="E23D8B" w:themeColor="accent4" w:themeTint="99"/>
      </w:tblBorders>
    </w:tblPr>
    <w:tblStylePr w:type="firstRow">
      <w:rPr>
        <w:b/>
        <w:bCs/>
      </w:rPr>
      <w:tblPr/>
      <w:tcPr>
        <w:tcBorders>
          <w:top w:val="nil"/>
          <w:bottom w:val="single" w:sz="12" w:space="0" w:color="E23D8B" w:themeColor="accent4" w:themeTint="99"/>
          <w:insideH w:val="nil"/>
          <w:insideV w:val="nil"/>
        </w:tcBorders>
        <w:shd w:val="clear" w:color="auto" w:fill="FFFFFF" w:themeFill="background1"/>
      </w:tcPr>
    </w:tblStylePr>
    <w:tblStylePr w:type="lastRow">
      <w:rPr>
        <w:b/>
        <w:bCs/>
      </w:rPr>
      <w:tblPr/>
      <w:tcPr>
        <w:tcBorders>
          <w:top w:val="double" w:sz="2" w:space="0" w:color="E23D8B"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5BED8" w:themeFill="accent4" w:themeFillTint="33"/>
      </w:tcPr>
    </w:tblStylePr>
    <w:tblStylePr w:type="band1Horz">
      <w:tblPr/>
      <w:tcPr>
        <w:shd w:val="clear" w:color="auto" w:fill="F5BED8" w:themeFill="accent4" w:themeFillTint="33"/>
      </w:tcPr>
    </w:tblStylePr>
  </w:style>
  <w:style w:type="table" w:styleId="GridTable2-Accent5">
    <w:name w:val="Grid Table 2 Accent 5"/>
    <w:basedOn w:val="TableNormal"/>
    <w:uiPriority w:val="47"/>
    <w:rsid w:val="00DF245D"/>
    <w:pPr>
      <w:spacing w:after="0" w:line="240" w:lineRule="auto"/>
    </w:pPr>
    <w:tblPr>
      <w:tblStyleRowBandSize w:val="1"/>
      <w:tblStyleColBandSize w:val="1"/>
      <w:tblBorders>
        <w:top w:val="single" w:sz="2" w:space="0" w:color="DEF555" w:themeColor="accent5" w:themeTint="99"/>
        <w:bottom w:val="single" w:sz="2" w:space="0" w:color="DEF555" w:themeColor="accent5" w:themeTint="99"/>
        <w:insideH w:val="single" w:sz="2" w:space="0" w:color="DEF555" w:themeColor="accent5" w:themeTint="99"/>
        <w:insideV w:val="single" w:sz="2" w:space="0" w:color="DEF555" w:themeColor="accent5" w:themeTint="99"/>
      </w:tblBorders>
    </w:tblPr>
    <w:tblStylePr w:type="firstRow">
      <w:rPr>
        <w:b/>
        <w:bCs/>
      </w:rPr>
      <w:tblPr/>
      <w:tcPr>
        <w:tcBorders>
          <w:top w:val="nil"/>
          <w:bottom w:val="single" w:sz="12" w:space="0" w:color="DEF555" w:themeColor="accent5" w:themeTint="99"/>
          <w:insideH w:val="nil"/>
          <w:insideV w:val="nil"/>
        </w:tcBorders>
        <w:shd w:val="clear" w:color="auto" w:fill="FFFFFF" w:themeFill="background1"/>
      </w:tcPr>
    </w:tblStylePr>
    <w:tblStylePr w:type="lastRow">
      <w:rPr>
        <w:b/>
        <w:bCs/>
      </w:rPr>
      <w:tblPr/>
      <w:tcPr>
        <w:tcBorders>
          <w:top w:val="double" w:sz="2" w:space="0" w:color="DEF55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4FCC6" w:themeFill="accent5" w:themeFillTint="33"/>
      </w:tcPr>
    </w:tblStylePr>
    <w:tblStylePr w:type="band1Horz">
      <w:tblPr/>
      <w:tcPr>
        <w:shd w:val="clear" w:color="auto" w:fill="F4FCC6" w:themeFill="accent5" w:themeFillTint="33"/>
      </w:tcPr>
    </w:tblStylePr>
  </w:style>
  <w:style w:type="table" w:styleId="GridTable2-Accent6">
    <w:name w:val="Grid Table 2 Accent 6"/>
    <w:basedOn w:val="TableNormal"/>
    <w:uiPriority w:val="47"/>
    <w:rsid w:val="00DF245D"/>
    <w:pPr>
      <w:spacing w:after="0" w:line="240" w:lineRule="auto"/>
    </w:pPr>
    <w:tblPr>
      <w:tblStyleRowBandSize w:val="1"/>
      <w:tblStyleColBandSize w:val="1"/>
      <w:tblBorders>
        <w:top w:val="single" w:sz="2" w:space="0" w:color="7FD67B" w:themeColor="accent6" w:themeTint="99"/>
        <w:bottom w:val="single" w:sz="2" w:space="0" w:color="7FD67B" w:themeColor="accent6" w:themeTint="99"/>
        <w:insideH w:val="single" w:sz="2" w:space="0" w:color="7FD67B" w:themeColor="accent6" w:themeTint="99"/>
        <w:insideV w:val="single" w:sz="2" w:space="0" w:color="7FD67B" w:themeColor="accent6" w:themeTint="99"/>
      </w:tblBorders>
    </w:tblPr>
    <w:tblStylePr w:type="firstRow">
      <w:rPr>
        <w:b/>
        <w:bCs/>
      </w:rPr>
      <w:tblPr/>
      <w:tcPr>
        <w:tcBorders>
          <w:top w:val="nil"/>
          <w:bottom w:val="single" w:sz="12" w:space="0" w:color="7FD67B" w:themeColor="accent6" w:themeTint="99"/>
          <w:insideH w:val="nil"/>
          <w:insideV w:val="nil"/>
        </w:tcBorders>
        <w:shd w:val="clear" w:color="auto" w:fill="FFFFFF" w:themeFill="background1"/>
      </w:tcPr>
    </w:tblStylePr>
    <w:tblStylePr w:type="lastRow">
      <w:rPr>
        <w:b/>
        <w:bCs/>
      </w:rPr>
      <w:tblPr/>
      <w:tcPr>
        <w:tcBorders>
          <w:top w:val="double" w:sz="2" w:space="0" w:color="7FD67B"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4F1D3" w:themeFill="accent6" w:themeFillTint="33"/>
      </w:tcPr>
    </w:tblStylePr>
    <w:tblStylePr w:type="band1Horz">
      <w:tblPr/>
      <w:tcPr>
        <w:shd w:val="clear" w:color="auto" w:fill="D4F1D3" w:themeFill="accent6" w:themeFillTint="33"/>
      </w:tcPr>
    </w:tblStylePr>
  </w:style>
  <w:style w:type="table" w:styleId="GridTable3-Accent1">
    <w:name w:val="Grid Table 3 Accent 1"/>
    <w:basedOn w:val="TableNormal"/>
    <w:uiPriority w:val="48"/>
    <w:rsid w:val="00DF245D"/>
    <w:pPr>
      <w:spacing w:after="0" w:line="240" w:lineRule="auto"/>
    </w:pPr>
    <w:tblPr>
      <w:tblStyleRowBandSize w:val="1"/>
      <w:tblStyleColBandSize w:val="1"/>
      <w:tblBorders>
        <w:top w:val="single" w:sz="4" w:space="0" w:color="43CFFF" w:themeColor="accent1" w:themeTint="99"/>
        <w:left w:val="single" w:sz="4" w:space="0" w:color="43CFFF" w:themeColor="accent1" w:themeTint="99"/>
        <w:bottom w:val="single" w:sz="4" w:space="0" w:color="43CFFF" w:themeColor="accent1" w:themeTint="99"/>
        <w:right w:val="single" w:sz="4" w:space="0" w:color="43CFFF" w:themeColor="accent1" w:themeTint="99"/>
        <w:insideH w:val="single" w:sz="4" w:space="0" w:color="43CFFF" w:themeColor="accent1" w:themeTint="99"/>
        <w:insideV w:val="single" w:sz="4" w:space="0" w:color="43CF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0EFFF" w:themeFill="accent1" w:themeFillTint="33"/>
      </w:tcPr>
    </w:tblStylePr>
    <w:tblStylePr w:type="band1Horz">
      <w:tblPr/>
      <w:tcPr>
        <w:shd w:val="clear" w:color="auto" w:fill="C0EFFF" w:themeFill="accent1" w:themeFillTint="33"/>
      </w:tcPr>
    </w:tblStylePr>
    <w:tblStylePr w:type="neCell">
      <w:tblPr/>
      <w:tcPr>
        <w:tcBorders>
          <w:bottom w:val="single" w:sz="4" w:space="0" w:color="43CFFF" w:themeColor="accent1" w:themeTint="99"/>
        </w:tcBorders>
      </w:tcPr>
    </w:tblStylePr>
    <w:tblStylePr w:type="nwCell">
      <w:tblPr/>
      <w:tcPr>
        <w:tcBorders>
          <w:bottom w:val="single" w:sz="4" w:space="0" w:color="43CFFF" w:themeColor="accent1" w:themeTint="99"/>
        </w:tcBorders>
      </w:tcPr>
    </w:tblStylePr>
    <w:tblStylePr w:type="seCell">
      <w:tblPr/>
      <w:tcPr>
        <w:tcBorders>
          <w:top w:val="single" w:sz="4" w:space="0" w:color="43CFFF" w:themeColor="accent1" w:themeTint="99"/>
        </w:tcBorders>
      </w:tcPr>
    </w:tblStylePr>
    <w:tblStylePr w:type="swCell">
      <w:tblPr/>
      <w:tcPr>
        <w:tcBorders>
          <w:top w:val="single" w:sz="4" w:space="0" w:color="43CFFF" w:themeColor="accent1" w:themeTint="99"/>
        </w:tcBorders>
      </w:tcPr>
    </w:tblStylePr>
  </w:style>
  <w:style w:type="table" w:styleId="GridTable3-Accent2">
    <w:name w:val="Grid Table 3 Accent 2"/>
    <w:basedOn w:val="TableNormal"/>
    <w:uiPriority w:val="48"/>
    <w:rsid w:val="00DF245D"/>
    <w:pPr>
      <w:spacing w:after="0" w:line="240" w:lineRule="auto"/>
    </w:pPr>
    <w:tblPr>
      <w:tblStyleRowBandSize w:val="1"/>
      <w:tblStyleColBandSize w:val="1"/>
      <w:tblBorders>
        <w:top w:val="single" w:sz="4" w:space="0" w:color="FF56A6" w:themeColor="accent2" w:themeTint="99"/>
        <w:left w:val="single" w:sz="4" w:space="0" w:color="FF56A6" w:themeColor="accent2" w:themeTint="99"/>
        <w:bottom w:val="single" w:sz="4" w:space="0" w:color="FF56A6" w:themeColor="accent2" w:themeTint="99"/>
        <w:right w:val="single" w:sz="4" w:space="0" w:color="FF56A6" w:themeColor="accent2" w:themeTint="99"/>
        <w:insideH w:val="single" w:sz="4" w:space="0" w:color="FF56A6" w:themeColor="accent2" w:themeTint="99"/>
        <w:insideV w:val="single" w:sz="4" w:space="0" w:color="FF56A6"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C6E1" w:themeFill="accent2" w:themeFillTint="33"/>
      </w:tcPr>
    </w:tblStylePr>
    <w:tblStylePr w:type="band1Horz">
      <w:tblPr/>
      <w:tcPr>
        <w:shd w:val="clear" w:color="auto" w:fill="FFC6E1" w:themeFill="accent2" w:themeFillTint="33"/>
      </w:tcPr>
    </w:tblStylePr>
    <w:tblStylePr w:type="neCell">
      <w:tblPr/>
      <w:tcPr>
        <w:tcBorders>
          <w:bottom w:val="single" w:sz="4" w:space="0" w:color="FF56A6" w:themeColor="accent2" w:themeTint="99"/>
        </w:tcBorders>
      </w:tcPr>
    </w:tblStylePr>
    <w:tblStylePr w:type="nwCell">
      <w:tblPr/>
      <w:tcPr>
        <w:tcBorders>
          <w:bottom w:val="single" w:sz="4" w:space="0" w:color="FF56A6" w:themeColor="accent2" w:themeTint="99"/>
        </w:tcBorders>
      </w:tcPr>
    </w:tblStylePr>
    <w:tblStylePr w:type="seCell">
      <w:tblPr/>
      <w:tcPr>
        <w:tcBorders>
          <w:top w:val="single" w:sz="4" w:space="0" w:color="FF56A6" w:themeColor="accent2" w:themeTint="99"/>
        </w:tcBorders>
      </w:tcPr>
    </w:tblStylePr>
    <w:tblStylePr w:type="swCell">
      <w:tblPr/>
      <w:tcPr>
        <w:tcBorders>
          <w:top w:val="single" w:sz="4" w:space="0" w:color="FF56A6" w:themeColor="accent2" w:themeTint="99"/>
        </w:tcBorders>
      </w:tcPr>
    </w:tblStylePr>
  </w:style>
  <w:style w:type="table" w:styleId="GridTable3-Accent3">
    <w:name w:val="Grid Table 3 Accent 3"/>
    <w:basedOn w:val="TableNormal"/>
    <w:uiPriority w:val="48"/>
    <w:rsid w:val="00DF245D"/>
    <w:pPr>
      <w:spacing w:after="0" w:line="240" w:lineRule="auto"/>
    </w:pPr>
    <w:tblPr>
      <w:tblStyleRowBandSize w:val="1"/>
      <w:tblStyleColBandSize w:val="1"/>
      <w:tblBorders>
        <w:top w:val="single" w:sz="4" w:space="0" w:color="6658CF" w:themeColor="accent3" w:themeTint="99"/>
        <w:left w:val="single" w:sz="4" w:space="0" w:color="6658CF" w:themeColor="accent3" w:themeTint="99"/>
        <w:bottom w:val="single" w:sz="4" w:space="0" w:color="6658CF" w:themeColor="accent3" w:themeTint="99"/>
        <w:right w:val="single" w:sz="4" w:space="0" w:color="6658CF" w:themeColor="accent3" w:themeTint="99"/>
        <w:insideH w:val="single" w:sz="4" w:space="0" w:color="6658CF" w:themeColor="accent3" w:themeTint="99"/>
        <w:insideV w:val="single" w:sz="4" w:space="0" w:color="6658C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7EF" w:themeFill="accent3" w:themeFillTint="33"/>
      </w:tcPr>
    </w:tblStylePr>
    <w:tblStylePr w:type="band1Horz">
      <w:tblPr/>
      <w:tcPr>
        <w:shd w:val="clear" w:color="auto" w:fill="CCC7EF" w:themeFill="accent3" w:themeFillTint="33"/>
      </w:tcPr>
    </w:tblStylePr>
    <w:tblStylePr w:type="neCell">
      <w:tblPr/>
      <w:tcPr>
        <w:tcBorders>
          <w:bottom w:val="single" w:sz="4" w:space="0" w:color="6658CF" w:themeColor="accent3" w:themeTint="99"/>
        </w:tcBorders>
      </w:tcPr>
    </w:tblStylePr>
    <w:tblStylePr w:type="nwCell">
      <w:tblPr/>
      <w:tcPr>
        <w:tcBorders>
          <w:bottom w:val="single" w:sz="4" w:space="0" w:color="6658CF" w:themeColor="accent3" w:themeTint="99"/>
        </w:tcBorders>
      </w:tcPr>
    </w:tblStylePr>
    <w:tblStylePr w:type="seCell">
      <w:tblPr/>
      <w:tcPr>
        <w:tcBorders>
          <w:top w:val="single" w:sz="4" w:space="0" w:color="6658CF" w:themeColor="accent3" w:themeTint="99"/>
        </w:tcBorders>
      </w:tcPr>
    </w:tblStylePr>
    <w:tblStylePr w:type="swCell">
      <w:tblPr/>
      <w:tcPr>
        <w:tcBorders>
          <w:top w:val="single" w:sz="4" w:space="0" w:color="6658CF" w:themeColor="accent3" w:themeTint="99"/>
        </w:tcBorders>
      </w:tcPr>
    </w:tblStylePr>
  </w:style>
  <w:style w:type="table" w:styleId="GridTable3-Accent4">
    <w:name w:val="Grid Table 3 Accent 4"/>
    <w:basedOn w:val="TableNormal"/>
    <w:uiPriority w:val="48"/>
    <w:rsid w:val="00DF245D"/>
    <w:pPr>
      <w:spacing w:after="0" w:line="240" w:lineRule="auto"/>
    </w:pPr>
    <w:tblPr>
      <w:tblStyleRowBandSize w:val="1"/>
      <w:tblStyleColBandSize w:val="1"/>
      <w:tblBorders>
        <w:top w:val="single" w:sz="4" w:space="0" w:color="E23D8B" w:themeColor="accent4" w:themeTint="99"/>
        <w:left w:val="single" w:sz="4" w:space="0" w:color="E23D8B" w:themeColor="accent4" w:themeTint="99"/>
        <w:bottom w:val="single" w:sz="4" w:space="0" w:color="E23D8B" w:themeColor="accent4" w:themeTint="99"/>
        <w:right w:val="single" w:sz="4" w:space="0" w:color="E23D8B" w:themeColor="accent4" w:themeTint="99"/>
        <w:insideH w:val="single" w:sz="4" w:space="0" w:color="E23D8B" w:themeColor="accent4" w:themeTint="99"/>
        <w:insideV w:val="single" w:sz="4" w:space="0" w:color="E23D8B"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5BED8" w:themeFill="accent4" w:themeFillTint="33"/>
      </w:tcPr>
    </w:tblStylePr>
    <w:tblStylePr w:type="band1Horz">
      <w:tblPr/>
      <w:tcPr>
        <w:shd w:val="clear" w:color="auto" w:fill="F5BED8" w:themeFill="accent4" w:themeFillTint="33"/>
      </w:tcPr>
    </w:tblStylePr>
    <w:tblStylePr w:type="neCell">
      <w:tblPr/>
      <w:tcPr>
        <w:tcBorders>
          <w:bottom w:val="single" w:sz="4" w:space="0" w:color="E23D8B" w:themeColor="accent4" w:themeTint="99"/>
        </w:tcBorders>
      </w:tcPr>
    </w:tblStylePr>
    <w:tblStylePr w:type="nwCell">
      <w:tblPr/>
      <w:tcPr>
        <w:tcBorders>
          <w:bottom w:val="single" w:sz="4" w:space="0" w:color="E23D8B" w:themeColor="accent4" w:themeTint="99"/>
        </w:tcBorders>
      </w:tcPr>
    </w:tblStylePr>
    <w:tblStylePr w:type="seCell">
      <w:tblPr/>
      <w:tcPr>
        <w:tcBorders>
          <w:top w:val="single" w:sz="4" w:space="0" w:color="E23D8B" w:themeColor="accent4" w:themeTint="99"/>
        </w:tcBorders>
      </w:tcPr>
    </w:tblStylePr>
    <w:tblStylePr w:type="swCell">
      <w:tblPr/>
      <w:tcPr>
        <w:tcBorders>
          <w:top w:val="single" w:sz="4" w:space="0" w:color="E23D8B" w:themeColor="accent4" w:themeTint="99"/>
        </w:tcBorders>
      </w:tcPr>
    </w:tblStylePr>
  </w:style>
  <w:style w:type="table" w:styleId="GridTable3-Accent5">
    <w:name w:val="Grid Table 3 Accent 5"/>
    <w:basedOn w:val="TableNormal"/>
    <w:uiPriority w:val="48"/>
    <w:rsid w:val="00DF245D"/>
    <w:pPr>
      <w:spacing w:after="0" w:line="240" w:lineRule="auto"/>
    </w:pPr>
    <w:tblPr>
      <w:tblStyleRowBandSize w:val="1"/>
      <w:tblStyleColBandSize w:val="1"/>
      <w:tblBorders>
        <w:top w:val="single" w:sz="4" w:space="0" w:color="DEF555" w:themeColor="accent5" w:themeTint="99"/>
        <w:left w:val="single" w:sz="4" w:space="0" w:color="DEF555" w:themeColor="accent5" w:themeTint="99"/>
        <w:bottom w:val="single" w:sz="4" w:space="0" w:color="DEF555" w:themeColor="accent5" w:themeTint="99"/>
        <w:right w:val="single" w:sz="4" w:space="0" w:color="DEF555" w:themeColor="accent5" w:themeTint="99"/>
        <w:insideH w:val="single" w:sz="4" w:space="0" w:color="DEF555" w:themeColor="accent5" w:themeTint="99"/>
        <w:insideV w:val="single" w:sz="4" w:space="0" w:color="DEF55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FCC6" w:themeFill="accent5" w:themeFillTint="33"/>
      </w:tcPr>
    </w:tblStylePr>
    <w:tblStylePr w:type="band1Horz">
      <w:tblPr/>
      <w:tcPr>
        <w:shd w:val="clear" w:color="auto" w:fill="F4FCC6" w:themeFill="accent5" w:themeFillTint="33"/>
      </w:tcPr>
    </w:tblStylePr>
    <w:tblStylePr w:type="neCell">
      <w:tblPr/>
      <w:tcPr>
        <w:tcBorders>
          <w:bottom w:val="single" w:sz="4" w:space="0" w:color="DEF555" w:themeColor="accent5" w:themeTint="99"/>
        </w:tcBorders>
      </w:tcPr>
    </w:tblStylePr>
    <w:tblStylePr w:type="nwCell">
      <w:tblPr/>
      <w:tcPr>
        <w:tcBorders>
          <w:bottom w:val="single" w:sz="4" w:space="0" w:color="DEF555" w:themeColor="accent5" w:themeTint="99"/>
        </w:tcBorders>
      </w:tcPr>
    </w:tblStylePr>
    <w:tblStylePr w:type="seCell">
      <w:tblPr/>
      <w:tcPr>
        <w:tcBorders>
          <w:top w:val="single" w:sz="4" w:space="0" w:color="DEF555" w:themeColor="accent5" w:themeTint="99"/>
        </w:tcBorders>
      </w:tcPr>
    </w:tblStylePr>
    <w:tblStylePr w:type="swCell">
      <w:tblPr/>
      <w:tcPr>
        <w:tcBorders>
          <w:top w:val="single" w:sz="4" w:space="0" w:color="DEF555" w:themeColor="accent5" w:themeTint="99"/>
        </w:tcBorders>
      </w:tcPr>
    </w:tblStylePr>
  </w:style>
  <w:style w:type="table" w:styleId="GridTable3-Accent6">
    <w:name w:val="Grid Table 3 Accent 6"/>
    <w:basedOn w:val="TableNormal"/>
    <w:uiPriority w:val="48"/>
    <w:rsid w:val="00DF245D"/>
    <w:pPr>
      <w:spacing w:after="0" w:line="240" w:lineRule="auto"/>
    </w:pPr>
    <w:tblPr>
      <w:tblStyleRowBandSize w:val="1"/>
      <w:tblStyleColBandSize w:val="1"/>
      <w:tblBorders>
        <w:top w:val="single" w:sz="4" w:space="0" w:color="7FD67B" w:themeColor="accent6" w:themeTint="99"/>
        <w:left w:val="single" w:sz="4" w:space="0" w:color="7FD67B" w:themeColor="accent6" w:themeTint="99"/>
        <w:bottom w:val="single" w:sz="4" w:space="0" w:color="7FD67B" w:themeColor="accent6" w:themeTint="99"/>
        <w:right w:val="single" w:sz="4" w:space="0" w:color="7FD67B" w:themeColor="accent6" w:themeTint="99"/>
        <w:insideH w:val="single" w:sz="4" w:space="0" w:color="7FD67B" w:themeColor="accent6" w:themeTint="99"/>
        <w:insideV w:val="single" w:sz="4" w:space="0" w:color="7FD67B"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4F1D3" w:themeFill="accent6" w:themeFillTint="33"/>
      </w:tcPr>
    </w:tblStylePr>
    <w:tblStylePr w:type="band1Horz">
      <w:tblPr/>
      <w:tcPr>
        <w:shd w:val="clear" w:color="auto" w:fill="D4F1D3" w:themeFill="accent6" w:themeFillTint="33"/>
      </w:tcPr>
    </w:tblStylePr>
    <w:tblStylePr w:type="neCell">
      <w:tblPr/>
      <w:tcPr>
        <w:tcBorders>
          <w:bottom w:val="single" w:sz="4" w:space="0" w:color="7FD67B" w:themeColor="accent6" w:themeTint="99"/>
        </w:tcBorders>
      </w:tcPr>
    </w:tblStylePr>
    <w:tblStylePr w:type="nwCell">
      <w:tblPr/>
      <w:tcPr>
        <w:tcBorders>
          <w:bottom w:val="single" w:sz="4" w:space="0" w:color="7FD67B" w:themeColor="accent6" w:themeTint="99"/>
        </w:tcBorders>
      </w:tcPr>
    </w:tblStylePr>
    <w:tblStylePr w:type="seCell">
      <w:tblPr/>
      <w:tcPr>
        <w:tcBorders>
          <w:top w:val="single" w:sz="4" w:space="0" w:color="7FD67B" w:themeColor="accent6" w:themeTint="99"/>
        </w:tcBorders>
      </w:tcPr>
    </w:tblStylePr>
    <w:tblStylePr w:type="swCell">
      <w:tblPr/>
      <w:tcPr>
        <w:tcBorders>
          <w:top w:val="single" w:sz="4" w:space="0" w:color="7FD67B" w:themeColor="accent6" w:themeTint="99"/>
        </w:tcBorders>
      </w:tcPr>
    </w:tblStylePr>
  </w:style>
  <w:style w:type="table" w:styleId="GridTable4-Accent2">
    <w:name w:val="Grid Table 4 Accent 2"/>
    <w:basedOn w:val="TableNormal"/>
    <w:uiPriority w:val="49"/>
    <w:rsid w:val="00DF245D"/>
    <w:pPr>
      <w:spacing w:after="0" w:line="240" w:lineRule="auto"/>
    </w:pPr>
    <w:tblPr>
      <w:tblStyleRowBandSize w:val="1"/>
      <w:tblStyleColBandSize w:val="1"/>
      <w:tblBorders>
        <w:top w:val="single" w:sz="4" w:space="0" w:color="FF56A6" w:themeColor="accent2" w:themeTint="99"/>
        <w:left w:val="single" w:sz="4" w:space="0" w:color="FF56A6" w:themeColor="accent2" w:themeTint="99"/>
        <w:bottom w:val="single" w:sz="4" w:space="0" w:color="FF56A6" w:themeColor="accent2" w:themeTint="99"/>
        <w:right w:val="single" w:sz="4" w:space="0" w:color="FF56A6" w:themeColor="accent2" w:themeTint="99"/>
        <w:insideH w:val="single" w:sz="4" w:space="0" w:color="FF56A6" w:themeColor="accent2" w:themeTint="99"/>
        <w:insideV w:val="single" w:sz="4" w:space="0" w:color="FF56A6" w:themeColor="accent2" w:themeTint="99"/>
      </w:tblBorders>
    </w:tblPr>
    <w:tblStylePr w:type="firstRow">
      <w:rPr>
        <w:b/>
        <w:bCs/>
        <w:color w:val="FFFFFF" w:themeColor="background1"/>
      </w:rPr>
      <w:tblPr/>
      <w:tcPr>
        <w:tcBorders>
          <w:top w:val="single" w:sz="4" w:space="0" w:color="E5006D" w:themeColor="accent2"/>
          <w:left w:val="single" w:sz="4" w:space="0" w:color="E5006D" w:themeColor="accent2"/>
          <w:bottom w:val="single" w:sz="4" w:space="0" w:color="E5006D" w:themeColor="accent2"/>
          <w:right w:val="single" w:sz="4" w:space="0" w:color="E5006D" w:themeColor="accent2"/>
          <w:insideH w:val="nil"/>
          <w:insideV w:val="nil"/>
        </w:tcBorders>
        <w:shd w:val="clear" w:color="auto" w:fill="E5006D" w:themeFill="accent2"/>
      </w:tcPr>
    </w:tblStylePr>
    <w:tblStylePr w:type="lastRow">
      <w:rPr>
        <w:b/>
        <w:bCs/>
      </w:rPr>
      <w:tblPr/>
      <w:tcPr>
        <w:tcBorders>
          <w:top w:val="double" w:sz="4" w:space="0" w:color="E5006D" w:themeColor="accent2"/>
        </w:tcBorders>
      </w:tcPr>
    </w:tblStylePr>
    <w:tblStylePr w:type="firstCol">
      <w:rPr>
        <w:b/>
        <w:bCs/>
      </w:rPr>
    </w:tblStylePr>
    <w:tblStylePr w:type="lastCol">
      <w:rPr>
        <w:b/>
        <w:bCs/>
      </w:rPr>
    </w:tblStylePr>
    <w:tblStylePr w:type="band1Vert">
      <w:tblPr/>
      <w:tcPr>
        <w:shd w:val="clear" w:color="auto" w:fill="FFC6E1" w:themeFill="accent2" w:themeFillTint="33"/>
      </w:tcPr>
    </w:tblStylePr>
    <w:tblStylePr w:type="band1Horz">
      <w:tblPr/>
      <w:tcPr>
        <w:shd w:val="clear" w:color="auto" w:fill="FFC6E1" w:themeFill="accent2" w:themeFillTint="33"/>
      </w:tcPr>
    </w:tblStylePr>
  </w:style>
  <w:style w:type="table" w:styleId="GridTable4-Accent3">
    <w:name w:val="Grid Table 4 Accent 3"/>
    <w:basedOn w:val="TableNormal"/>
    <w:uiPriority w:val="49"/>
    <w:rsid w:val="00DF245D"/>
    <w:pPr>
      <w:spacing w:after="0" w:line="240" w:lineRule="auto"/>
    </w:pPr>
    <w:tblPr>
      <w:tblStyleRowBandSize w:val="1"/>
      <w:tblStyleColBandSize w:val="1"/>
      <w:tblBorders>
        <w:top w:val="single" w:sz="4" w:space="0" w:color="6658CF" w:themeColor="accent3" w:themeTint="99"/>
        <w:left w:val="single" w:sz="4" w:space="0" w:color="6658CF" w:themeColor="accent3" w:themeTint="99"/>
        <w:bottom w:val="single" w:sz="4" w:space="0" w:color="6658CF" w:themeColor="accent3" w:themeTint="99"/>
        <w:right w:val="single" w:sz="4" w:space="0" w:color="6658CF" w:themeColor="accent3" w:themeTint="99"/>
        <w:insideH w:val="single" w:sz="4" w:space="0" w:color="6658CF" w:themeColor="accent3" w:themeTint="99"/>
        <w:insideV w:val="single" w:sz="4" w:space="0" w:color="6658CF" w:themeColor="accent3" w:themeTint="99"/>
      </w:tblBorders>
    </w:tblPr>
    <w:tblStylePr w:type="firstRow">
      <w:rPr>
        <w:b/>
        <w:bCs/>
        <w:color w:val="FFFFFF" w:themeColor="background1"/>
      </w:rPr>
      <w:tblPr/>
      <w:tcPr>
        <w:tcBorders>
          <w:top w:val="single" w:sz="4" w:space="0" w:color="2C2276" w:themeColor="accent3"/>
          <w:left w:val="single" w:sz="4" w:space="0" w:color="2C2276" w:themeColor="accent3"/>
          <w:bottom w:val="single" w:sz="4" w:space="0" w:color="2C2276" w:themeColor="accent3"/>
          <w:right w:val="single" w:sz="4" w:space="0" w:color="2C2276" w:themeColor="accent3"/>
          <w:insideH w:val="nil"/>
          <w:insideV w:val="nil"/>
        </w:tcBorders>
        <w:shd w:val="clear" w:color="auto" w:fill="2C2276" w:themeFill="accent3"/>
      </w:tcPr>
    </w:tblStylePr>
    <w:tblStylePr w:type="lastRow">
      <w:rPr>
        <w:b/>
        <w:bCs/>
      </w:rPr>
      <w:tblPr/>
      <w:tcPr>
        <w:tcBorders>
          <w:top w:val="double" w:sz="4" w:space="0" w:color="2C2276" w:themeColor="accent3"/>
        </w:tcBorders>
      </w:tcPr>
    </w:tblStylePr>
    <w:tblStylePr w:type="firstCol">
      <w:rPr>
        <w:b/>
        <w:bCs/>
      </w:rPr>
    </w:tblStylePr>
    <w:tblStylePr w:type="lastCol">
      <w:rPr>
        <w:b/>
        <w:bCs/>
      </w:rPr>
    </w:tblStylePr>
    <w:tblStylePr w:type="band1Vert">
      <w:tblPr/>
      <w:tcPr>
        <w:shd w:val="clear" w:color="auto" w:fill="CCC7EF" w:themeFill="accent3" w:themeFillTint="33"/>
      </w:tcPr>
    </w:tblStylePr>
    <w:tblStylePr w:type="band1Horz">
      <w:tblPr/>
      <w:tcPr>
        <w:shd w:val="clear" w:color="auto" w:fill="CCC7EF" w:themeFill="accent3" w:themeFillTint="33"/>
      </w:tcPr>
    </w:tblStylePr>
  </w:style>
  <w:style w:type="table" w:styleId="GridTable4-Accent4">
    <w:name w:val="Grid Table 4 Accent 4"/>
    <w:basedOn w:val="TableNormal"/>
    <w:uiPriority w:val="49"/>
    <w:rsid w:val="00DF245D"/>
    <w:pPr>
      <w:spacing w:after="0" w:line="240" w:lineRule="auto"/>
    </w:pPr>
    <w:tblPr>
      <w:tblStyleRowBandSize w:val="1"/>
      <w:tblStyleColBandSize w:val="1"/>
      <w:tblBorders>
        <w:top w:val="single" w:sz="4" w:space="0" w:color="E23D8B" w:themeColor="accent4" w:themeTint="99"/>
        <w:left w:val="single" w:sz="4" w:space="0" w:color="E23D8B" w:themeColor="accent4" w:themeTint="99"/>
        <w:bottom w:val="single" w:sz="4" w:space="0" w:color="E23D8B" w:themeColor="accent4" w:themeTint="99"/>
        <w:right w:val="single" w:sz="4" w:space="0" w:color="E23D8B" w:themeColor="accent4" w:themeTint="99"/>
        <w:insideH w:val="single" w:sz="4" w:space="0" w:color="E23D8B" w:themeColor="accent4" w:themeTint="99"/>
        <w:insideV w:val="single" w:sz="4" w:space="0" w:color="E23D8B" w:themeColor="accent4" w:themeTint="99"/>
      </w:tblBorders>
    </w:tblPr>
    <w:tblStylePr w:type="firstRow">
      <w:rPr>
        <w:b/>
        <w:bCs/>
        <w:color w:val="FFFFFF" w:themeColor="background1"/>
      </w:rPr>
      <w:tblPr/>
      <w:tcPr>
        <w:tcBorders>
          <w:top w:val="single" w:sz="4" w:space="0" w:color="7B1244" w:themeColor="accent4"/>
          <w:left w:val="single" w:sz="4" w:space="0" w:color="7B1244" w:themeColor="accent4"/>
          <w:bottom w:val="single" w:sz="4" w:space="0" w:color="7B1244" w:themeColor="accent4"/>
          <w:right w:val="single" w:sz="4" w:space="0" w:color="7B1244" w:themeColor="accent4"/>
          <w:insideH w:val="nil"/>
          <w:insideV w:val="nil"/>
        </w:tcBorders>
        <w:shd w:val="clear" w:color="auto" w:fill="7B1244" w:themeFill="accent4"/>
      </w:tcPr>
    </w:tblStylePr>
    <w:tblStylePr w:type="lastRow">
      <w:rPr>
        <w:b/>
        <w:bCs/>
      </w:rPr>
      <w:tblPr/>
      <w:tcPr>
        <w:tcBorders>
          <w:top w:val="double" w:sz="4" w:space="0" w:color="7B1244" w:themeColor="accent4"/>
        </w:tcBorders>
      </w:tcPr>
    </w:tblStylePr>
    <w:tblStylePr w:type="firstCol">
      <w:rPr>
        <w:b/>
        <w:bCs/>
      </w:rPr>
    </w:tblStylePr>
    <w:tblStylePr w:type="lastCol">
      <w:rPr>
        <w:b/>
        <w:bCs/>
      </w:rPr>
    </w:tblStylePr>
    <w:tblStylePr w:type="band1Vert">
      <w:tblPr/>
      <w:tcPr>
        <w:shd w:val="clear" w:color="auto" w:fill="F5BED8" w:themeFill="accent4" w:themeFillTint="33"/>
      </w:tcPr>
    </w:tblStylePr>
    <w:tblStylePr w:type="band1Horz">
      <w:tblPr/>
      <w:tcPr>
        <w:shd w:val="clear" w:color="auto" w:fill="F5BED8" w:themeFill="accent4" w:themeFillTint="33"/>
      </w:tcPr>
    </w:tblStylePr>
  </w:style>
  <w:style w:type="table" w:styleId="GridTable4-Accent5">
    <w:name w:val="Grid Table 4 Accent 5"/>
    <w:basedOn w:val="TableNormal"/>
    <w:uiPriority w:val="49"/>
    <w:rsid w:val="00DF245D"/>
    <w:pPr>
      <w:spacing w:after="0" w:line="240" w:lineRule="auto"/>
    </w:pPr>
    <w:tblPr>
      <w:tblStyleRowBandSize w:val="1"/>
      <w:tblStyleColBandSize w:val="1"/>
      <w:tblBorders>
        <w:top w:val="single" w:sz="4" w:space="0" w:color="DEF555" w:themeColor="accent5" w:themeTint="99"/>
        <w:left w:val="single" w:sz="4" w:space="0" w:color="DEF555" w:themeColor="accent5" w:themeTint="99"/>
        <w:bottom w:val="single" w:sz="4" w:space="0" w:color="DEF555" w:themeColor="accent5" w:themeTint="99"/>
        <w:right w:val="single" w:sz="4" w:space="0" w:color="DEF555" w:themeColor="accent5" w:themeTint="99"/>
        <w:insideH w:val="single" w:sz="4" w:space="0" w:color="DEF555" w:themeColor="accent5" w:themeTint="99"/>
        <w:insideV w:val="single" w:sz="4" w:space="0" w:color="DEF555" w:themeColor="accent5" w:themeTint="99"/>
      </w:tblBorders>
    </w:tblPr>
    <w:tblStylePr w:type="firstRow">
      <w:rPr>
        <w:b/>
        <w:bCs/>
        <w:color w:val="FFFFFF" w:themeColor="background1"/>
      </w:rPr>
      <w:tblPr/>
      <w:tcPr>
        <w:tcBorders>
          <w:top w:val="single" w:sz="4" w:space="0" w:color="AFCA0B" w:themeColor="accent5"/>
          <w:left w:val="single" w:sz="4" w:space="0" w:color="AFCA0B" w:themeColor="accent5"/>
          <w:bottom w:val="single" w:sz="4" w:space="0" w:color="AFCA0B" w:themeColor="accent5"/>
          <w:right w:val="single" w:sz="4" w:space="0" w:color="AFCA0B" w:themeColor="accent5"/>
          <w:insideH w:val="nil"/>
          <w:insideV w:val="nil"/>
        </w:tcBorders>
        <w:shd w:val="clear" w:color="auto" w:fill="AFCA0B" w:themeFill="accent5"/>
      </w:tcPr>
    </w:tblStylePr>
    <w:tblStylePr w:type="lastRow">
      <w:rPr>
        <w:b/>
        <w:bCs/>
      </w:rPr>
      <w:tblPr/>
      <w:tcPr>
        <w:tcBorders>
          <w:top w:val="double" w:sz="4" w:space="0" w:color="AFCA0B" w:themeColor="accent5"/>
        </w:tcBorders>
      </w:tcPr>
    </w:tblStylePr>
    <w:tblStylePr w:type="firstCol">
      <w:rPr>
        <w:b/>
        <w:bCs/>
      </w:rPr>
    </w:tblStylePr>
    <w:tblStylePr w:type="lastCol">
      <w:rPr>
        <w:b/>
        <w:bCs/>
      </w:rPr>
    </w:tblStylePr>
    <w:tblStylePr w:type="band1Vert">
      <w:tblPr/>
      <w:tcPr>
        <w:shd w:val="clear" w:color="auto" w:fill="F4FCC6" w:themeFill="accent5" w:themeFillTint="33"/>
      </w:tcPr>
    </w:tblStylePr>
    <w:tblStylePr w:type="band1Horz">
      <w:tblPr/>
      <w:tcPr>
        <w:shd w:val="clear" w:color="auto" w:fill="F4FCC6" w:themeFill="accent5" w:themeFillTint="33"/>
      </w:tcPr>
    </w:tblStylePr>
  </w:style>
  <w:style w:type="table" w:styleId="GridTable4-Accent6">
    <w:name w:val="Grid Table 4 Accent 6"/>
    <w:basedOn w:val="TableNormal"/>
    <w:uiPriority w:val="49"/>
    <w:rsid w:val="00DF245D"/>
    <w:pPr>
      <w:spacing w:after="0" w:line="240" w:lineRule="auto"/>
    </w:pPr>
    <w:tblPr>
      <w:tblStyleRowBandSize w:val="1"/>
      <w:tblStyleColBandSize w:val="1"/>
      <w:tblBorders>
        <w:top w:val="single" w:sz="4" w:space="0" w:color="7FD67B" w:themeColor="accent6" w:themeTint="99"/>
        <w:left w:val="single" w:sz="4" w:space="0" w:color="7FD67B" w:themeColor="accent6" w:themeTint="99"/>
        <w:bottom w:val="single" w:sz="4" w:space="0" w:color="7FD67B" w:themeColor="accent6" w:themeTint="99"/>
        <w:right w:val="single" w:sz="4" w:space="0" w:color="7FD67B" w:themeColor="accent6" w:themeTint="99"/>
        <w:insideH w:val="single" w:sz="4" w:space="0" w:color="7FD67B" w:themeColor="accent6" w:themeTint="99"/>
        <w:insideV w:val="single" w:sz="4" w:space="0" w:color="7FD67B" w:themeColor="accent6" w:themeTint="99"/>
      </w:tblBorders>
    </w:tblPr>
    <w:tblStylePr w:type="firstRow">
      <w:rPr>
        <w:b/>
        <w:bCs/>
        <w:color w:val="FFFFFF" w:themeColor="background1"/>
      </w:rPr>
      <w:tblPr/>
      <w:tcPr>
        <w:tcBorders>
          <w:top w:val="single" w:sz="4" w:space="0" w:color="3AAA35" w:themeColor="accent6"/>
          <w:left w:val="single" w:sz="4" w:space="0" w:color="3AAA35" w:themeColor="accent6"/>
          <w:bottom w:val="single" w:sz="4" w:space="0" w:color="3AAA35" w:themeColor="accent6"/>
          <w:right w:val="single" w:sz="4" w:space="0" w:color="3AAA35" w:themeColor="accent6"/>
          <w:insideH w:val="nil"/>
          <w:insideV w:val="nil"/>
        </w:tcBorders>
        <w:shd w:val="clear" w:color="auto" w:fill="3AAA35" w:themeFill="accent6"/>
      </w:tcPr>
    </w:tblStylePr>
    <w:tblStylePr w:type="lastRow">
      <w:rPr>
        <w:b/>
        <w:bCs/>
      </w:rPr>
      <w:tblPr/>
      <w:tcPr>
        <w:tcBorders>
          <w:top w:val="double" w:sz="4" w:space="0" w:color="3AAA35" w:themeColor="accent6"/>
        </w:tcBorders>
      </w:tcPr>
    </w:tblStylePr>
    <w:tblStylePr w:type="firstCol">
      <w:rPr>
        <w:b/>
        <w:bCs/>
      </w:rPr>
    </w:tblStylePr>
    <w:tblStylePr w:type="lastCol">
      <w:rPr>
        <w:b/>
        <w:bCs/>
      </w:rPr>
    </w:tblStylePr>
    <w:tblStylePr w:type="band1Vert">
      <w:tblPr/>
      <w:tcPr>
        <w:shd w:val="clear" w:color="auto" w:fill="D4F1D3" w:themeFill="accent6" w:themeFillTint="33"/>
      </w:tcPr>
    </w:tblStylePr>
    <w:tblStylePr w:type="band1Horz">
      <w:tblPr/>
      <w:tcPr>
        <w:shd w:val="clear" w:color="auto" w:fill="D4F1D3" w:themeFill="accent6" w:themeFillTint="33"/>
      </w:tcPr>
    </w:tblStylePr>
  </w:style>
  <w:style w:type="table" w:styleId="GridTable5Dark-Accent2">
    <w:name w:val="Grid Table 5 Dark Accent 2"/>
    <w:basedOn w:val="TableNormal"/>
    <w:uiPriority w:val="50"/>
    <w:rsid w:val="00DF245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C6E1"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5006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5006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5006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5006D" w:themeFill="accent2"/>
      </w:tcPr>
    </w:tblStylePr>
    <w:tblStylePr w:type="band1Vert">
      <w:tblPr/>
      <w:tcPr>
        <w:shd w:val="clear" w:color="auto" w:fill="FF8EC3" w:themeFill="accent2" w:themeFillTint="66"/>
      </w:tcPr>
    </w:tblStylePr>
    <w:tblStylePr w:type="band1Horz">
      <w:tblPr/>
      <w:tcPr>
        <w:shd w:val="clear" w:color="auto" w:fill="FF8EC3" w:themeFill="accent2" w:themeFillTint="66"/>
      </w:tcPr>
    </w:tblStylePr>
  </w:style>
  <w:style w:type="table" w:styleId="GridTable5Dark-Accent3">
    <w:name w:val="Grid Table 5 Dark Accent 3"/>
    <w:basedOn w:val="TableNormal"/>
    <w:uiPriority w:val="50"/>
    <w:rsid w:val="00DF245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7EF"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C2276"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C2276"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C2276"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C2276" w:themeFill="accent3"/>
      </w:tcPr>
    </w:tblStylePr>
    <w:tblStylePr w:type="band1Vert">
      <w:tblPr/>
      <w:tcPr>
        <w:shd w:val="clear" w:color="auto" w:fill="998FDF" w:themeFill="accent3" w:themeFillTint="66"/>
      </w:tcPr>
    </w:tblStylePr>
    <w:tblStylePr w:type="band1Horz">
      <w:tblPr/>
      <w:tcPr>
        <w:shd w:val="clear" w:color="auto" w:fill="998FDF" w:themeFill="accent3" w:themeFillTint="66"/>
      </w:tcPr>
    </w:tblStylePr>
  </w:style>
  <w:style w:type="table" w:styleId="GridTable5Dark-Accent4">
    <w:name w:val="Grid Table 5 Dark Accent 4"/>
    <w:basedOn w:val="TableNormal"/>
    <w:uiPriority w:val="50"/>
    <w:rsid w:val="00DF245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5BED8"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B1244"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B1244"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B1244"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B1244" w:themeFill="accent4"/>
      </w:tcPr>
    </w:tblStylePr>
    <w:tblStylePr w:type="band1Vert">
      <w:tblPr/>
      <w:tcPr>
        <w:shd w:val="clear" w:color="auto" w:fill="EC7EB2" w:themeFill="accent4" w:themeFillTint="66"/>
      </w:tcPr>
    </w:tblStylePr>
    <w:tblStylePr w:type="band1Horz">
      <w:tblPr/>
      <w:tcPr>
        <w:shd w:val="clear" w:color="auto" w:fill="EC7EB2" w:themeFill="accent4" w:themeFillTint="66"/>
      </w:tcPr>
    </w:tblStylePr>
  </w:style>
  <w:style w:type="table" w:styleId="GridTable5Dark-Accent5">
    <w:name w:val="Grid Table 5 Dark Accent 5"/>
    <w:basedOn w:val="TableNormal"/>
    <w:uiPriority w:val="50"/>
    <w:rsid w:val="00DF245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4FCC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FCA0B"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FCA0B"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FCA0B"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FCA0B" w:themeFill="accent5"/>
      </w:tcPr>
    </w:tblStylePr>
    <w:tblStylePr w:type="band1Vert">
      <w:tblPr/>
      <w:tcPr>
        <w:shd w:val="clear" w:color="auto" w:fill="E9F88E" w:themeFill="accent5" w:themeFillTint="66"/>
      </w:tcPr>
    </w:tblStylePr>
    <w:tblStylePr w:type="band1Horz">
      <w:tblPr/>
      <w:tcPr>
        <w:shd w:val="clear" w:color="auto" w:fill="E9F88E" w:themeFill="accent5" w:themeFillTint="66"/>
      </w:tcPr>
    </w:tblStylePr>
  </w:style>
  <w:style w:type="table" w:styleId="GridTable5Dark-Accent6">
    <w:name w:val="Grid Table 5 Dark Accent 6"/>
    <w:basedOn w:val="TableNormal"/>
    <w:uiPriority w:val="50"/>
    <w:rsid w:val="00DF245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4F1D3"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AAA35"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AAA35"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AAA35"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AAA35" w:themeFill="accent6"/>
      </w:tcPr>
    </w:tblStylePr>
    <w:tblStylePr w:type="band1Vert">
      <w:tblPr/>
      <w:tcPr>
        <w:shd w:val="clear" w:color="auto" w:fill="A9E3A7" w:themeFill="accent6" w:themeFillTint="66"/>
      </w:tcPr>
    </w:tblStylePr>
    <w:tblStylePr w:type="band1Horz">
      <w:tblPr/>
      <w:tcPr>
        <w:shd w:val="clear" w:color="auto" w:fill="A9E3A7" w:themeFill="accent6" w:themeFillTint="66"/>
      </w:tcPr>
    </w:tblStylePr>
  </w:style>
  <w:style w:type="table" w:styleId="GridTable6Colorful-Accent1">
    <w:name w:val="Grid Table 6 Colorful Accent 1"/>
    <w:basedOn w:val="TableNormal"/>
    <w:uiPriority w:val="51"/>
    <w:rsid w:val="00DF245D"/>
    <w:pPr>
      <w:spacing w:after="0" w:line="240" w:lineRule="auto"/>
    </w:pPr>
    <w:rPr>
      <w:color w:val="006E93" w:themeColor="accent1" w:themeShade="BF"/>
    </w:rPr>
    <w:tblPr>
      <w:tblStyleRowBandSize w:val="1"/>
      <w:tblStyleColBandSize w:val="1"/>
      <w:tblBorders>
        <w:top w:val="single" w:sz="4" w:space="0" w:color="43CFFF" w:themeColor="accent1" w:themeTint="99"/>
        <w:left w:val="single" w:sz="4" w:space="0" w:color="43CFFF" w:themeColor="accent1" w:themeTint="99"/>
        <w:bottom w:val="single" w:sz="4" w:space="0" w:color="43CFFF" w:themeColor="accent1" w:themeTint="99"/>
        <w:right w:val="single" w:sz="4" w:space="0" w:color="43CFFF" w:themeColor="accent1" w:themeTint="99"/>
        <w:insideH w:val="single" w:sz="4" w:space="0" w:color="43CFFF" w:themeColor="accent1" w:themeTint="99"/>
        <w:insideV w:val="single" w:sz="4" w:space="0" w:color="43CFFF" w:themeColor="accent1" w:themeTint="99"/>
      </w:tblBorders>
    </w:tblPr>
    <w:tblStylePr w:type="firstRow">
      <w:rPr>
        <w:b/>
        <w:bCs/>
      </w:rPr>
      <w:tblPr/>
      <w:tcPr>
        <w:tcBorders>
          <w:bottom w:val="single" w:sz="12" w:space="0" w:color="43CFFF" w:themeColor="accent1" w:themeTint="99"/>
        </w:tcBorders>
      </w:tcPr>
    </w:tblStylePr>
    <w:tblStylePr w:type="lastRow">
      <w:rPr>
        <w:b/>
        <w:bCs/>
      </w:rPr>
      <w:tblPr/>
      <w:tcPr>
        <w:tcBorders>
          <w:top w:val="double" w:sz="4" w:space="0" w:color="43CFFF" w:themeColor="accent1" w:themeTint="99"/>
        </w:tcBorders>
      </w:tcPr>
    </w:tblStylePr>
    <w:tblStylePr w:type="firstCol">
      <w:rPr>
        <w:b/>
        <w:bCs/>
      </w:rPr>
    </w:tblStylePr>
    <w:tblStylePr w:type="lastCol">
      <w:rPr>
        <w:b/>
        <w:bCs/>
      </w:rPr>
    </w:tblStylePr>
    <w:tblStylePr w:type="band1Vert">
      <w:tblPr/>
      <w:tcPr>
        <w:shd w:val="clear" w:color="auto" w:fill="C0EFFF" w:themeFill="accent1" w:themeFillTint="33"/>
      </w:tcPr>
    </w:tblStylePr>
    <w:tblStylePr w:type="band1Horz">
      <w:tblPr/>
      <w:tcPr>
        <w:shd w:val="clear" w:color="auto" w:fill="C0EFFF" w:themeFill="accent1" w:themeFillTint="33"/>
      </w:tcPr>
    </w:tblStylePr>
  </w:style>
  <w:style w:type="table" w:styleId="GridTable6Colorful-Accent2">
    <w:name w:val="Grid Table 6 Colorful Accent 2"/>
    <w:basedOn w:val="TableNormal"/>
    <w:uiPriority w:val="51"/>
    <w:rsid w:val="00DF245D"/>
    <w:pPr>
      <w:spacing w:after="0" w:line="240" w:lineRule="auto"/>
    </w:pPr>
    <w:rPr>
      <w:color w:val="AB0051" w:themeColor="accent2" w:themeShade="BF"/>
    </w:rPr>
    <w:tblPr>
      <w:tblStyleRowBandSize w:val="1"/>
      <w:tblStyleColBandSize w:val="1"/>
      <w:tblBorders>
        <w:top w:val="single" w:sz="4" w:space="0" w:color="FF56A6" w:themeColor="accent2" w:themeTint="99"/>
        <w:left w:val="single" w:sz="4" w:space="0" w:color="FF56A6" w:themeColor="accent2" w:themeTint="99"/>
        <w:bottom w:val="single" w:sz="4" w:space="0" w:color="FF56A6" w:themeColor="accent2" w:themeTint="99"/>
        <w:right w:val="single" w:sz="4" w:space="0" w:color="FF56A6" w:themeColor="accent2" w:themeTint="99"/>
        <w:insideH w:val="single" w:sz="4" w:space="0" w:color="FF56A6" w:themeColor="accent2" w:themeTint="99"/>
        <w:insideV w:val="single" w:sz="4" w:space="0" w:color="FF56A6" w:themeColor="accent2" w:themeTint="99"/>
      </w:tblBorders>
    </w:tblPr>
    <w:tblStylePr w:type="firstRow">
      <w:rPr>
        <w:b/>
        <w:bCs/>
      </w:rPr>
      <w:tblPr/>
      <w:tcPr>
        <w:tcBorders>
          <w:bottom w:val="single" w:sz="12" w:space="0" w:color="FF56A6" w:themeColor="accent2" w:themeTint="99"/>
        </w:tcBorders>
      </w:tcPr>
    </w:tblStylePr>
    <w:tblStylePr w:type="lastRow">
      <w:rPr>
        <w:b/>
        <w:bCs/>
      </w:rPr>
      <w:tblPr/>
      <w:tcPr>
        <w:tcBorders>
          <w:top w:val="double" w:sz="4" w:space="0" w:color="FF56A6" w:themeColor="accent2" w:themeTint="99"/>
        </w:tcBorders>
      </w:tcPr>
    </w:tblStylePr>
    <w:tblStylePr w:type="firstCol">
      <w:rPr>
        <w:b/>
        <w:bCs/>
      </w:rPr>
    </w:tblStylePr>
    <w:tblStylePr w:type="lastCol">
      <w:rPr>
        <w:b/>
        <w:bCs/>
      </w:rPr>
    </w:tblStylePr>
    <w:tblStylePr w:type="band1Vert">
      <w:tblPr/>
      <w:tcPr>
        <w:shd w:val="clear" w:color="auto" w:fill="FFC6E1" w:themeFill="accent2" w:themeFillTint="33"/>
      </w:tcPr>
    </w:tblStylePr>
    <w:tblStylePr w:type="band1Horz">
      <w:tblPr/>
      <w:tcPr>
        <w:shd w:val="clear" w:color="auto" w:fill="FFC6E1" w:themeFill="accent2" w:themeFillTint="33"/>
      </w:tcPr>
    </w:tblStylePr>
  </w:style>
  <w:style w:type="table" w:styleId="GridTable6Colorful-Accent3">
    <w:name w:val="Grid Table 6 Colorful Accent 3"/>
    <w:basedOn w:val="TableNormal"/>
    <w:uiPriority w:val="51"/>
    <w:rsid w:val="00DF245D"/>
    <w:pPr>
      <w:spacing w:after="0" w:line="240" w:lineRule="auto"/>
    </w:pPr>
    <w:rPr>
      <w:color w:val="201958" w:themeColor="accent3" w:themeShade="BF"/>
    </w:rPr>
    <w:tblPr>
      <w:tblStyleRowBandSize w:val="1"/>
      <w:tblStyleColBandSize w:val="1"/>
      <w:tblBorders>
        <w:top w:val="single" w:sz="4" w:space="0" w:color="6658CF" w:themeColor="accent3" w:themeTint="99"/>
        <w:left w:val="single" w:sz="4" w:space="0" w:color="6658CF" w:themeColor="accent3" w:themeTint="99"/>
        <w:bottom w:val="single" w:sz="4" w:space="0" w:color="6658CF" w:themeColor="accent3" w:themeTint="99"/>
        <w:right w:val="single" w:sz="4" w:space="0" w:color="6658CF" w:themeColor="accent3" w:themeTint="99"/>
        <w:insideH w:val="single" w:sz="4" w:space="0" w:color="6658CF" w:themeColor="accent3" w:themeTint="99"/>
        <w:insideV w:val="single" w:sz="4" w:space="0" w:color="6658CF" w:themeColor="accent3" w:themeTint="99"/>
      </w:tblBorders>
    </w:tblPr>
    <w:tblStylePr w:type="firstRow">
      <w:rPr>
        <w:b/>
        <w:bCs/>
      </w:rPr>
      <w:tblPr/>
      <w:tcPr>
        <w:tcBorders>
          <w:bottom w:val="single" w:sz="12" w:space="0" w:color="6658CF" w:themeColor="accent3" w:themeTint="99"/>
        </w:tcBorders>
      </w:tcPr>
    </w:tblStylePr>
    <w:tblStylePr w:type="lastRow">
      <w:rPr>
        <w:b/>
        <w:bCs/>
      </w:rPr>
      <w:tblPr/>
      <w:tcPr>
        <w:tcBorders>
          <w:top w:val="double" w:sz="4" w:space="0" w:color="6658CF" w:themeColor="accent3" w:themeTint="99"/>
        </w:tcBorders>
      </w:tcPr>
    </w:tblStylePr>
    <w:tblStylePr w:type="firstCol">
      <w:rPr>
        <w:b/>
        <w:bCs/>
      </w:rPr>
    </w:tblStylePr>
    <w:tblStylePr w:type="lastCol">
      <w:rPr>
        <w:b/>
        <w:bCs/>
      </w:rPr>
    </w:tblStylePr>
    <w:tblStylePr w:type="band1Vert">
      <w:tblPr/>
      <w:tcPr>
        <w:shd w:val="clear" w:color="auto" w:fill="CCC7EF" w:themeFill="accent3" w:themeFillTint="33"/>
      </w:tcPr>
    </w:tblStylePr>
    <w:tblStylePr w:type="band1Horz">
      <w:tblPr/>
      <w:tcPr>
        <w:shd w:val="clear" w:color="auto" w:fill="CCC7EF" w:themeFill="accent3" w:themeFillTint="33"/>
      </w:tcPr>
    </w:tblStylePr>
  </w:style>
  <w:style w:type="table" w:styleId="GridTable6Colorful-Accent4">
    <w:name w:val="Grid Table 6 Colorful Accent 4"/>
    <w:basedOn w:val="TableNormal"/>
    <w:uiPriority w:val="51"/>
    <w:rsid w:val="00DF245D"/>
    <w:pPr>
      <w:spacing w:after="0" w:line="240" w:lineRule="auto"/>
    </w:pPr>
    <w:rPr>
      <w:color w:val="5B0D32" w:themeColor="accent4" w:themeShade="BF"/>
    </w:rPr>
    <w:tblPr>
      <w:tblStyleRowBandSize w:val="1"/>
      <w:tblStyleColBandSize w:val="1"/>
      <w:tblBorders>
        <w:top w:val="single" w:sz="4" w:space="0" w:color="E23D8B" w:themeColor="accent4" w:themeTint="99"/>
        <w:left w:val="single" w:sz="4" w:space="0" w:color="E23D8B" w:themeColor="accent4" w:themeTint="99"/>
        <w:bottom w:val="single" w:sz="4" w:space="0" w:color="E23D8B" w:themeColor="accent4" w:themeTint="99"/>
        <w:right w:val="single" w:sz="4" w:space="0" w:color="E23D8B" w:themeColor="accent4" w:themeTint="99"/>
        <w:insideH w:val="single" w:sz="4" w:space="0" w:color="E23D8B" w:themeColor="accent4" w:themeTint="99"/>
        <w:insideV w:val="single" w:sz="4" w:space="0" w:color="E23D8B" w:themeColor="accent4" w:themeTint="99"/>
      </w:tblBorders>
    </w:tblPr>
    <w:tblStylePr w:type="firstRow">
      <w:rPr>
        <w:b/>
        <w:bCs/>
      </w:rPr>
      <w:tblPr/>
      <w:tcPr>
        <w:tcBorders>
          <w:bottom w:val="single" w:sz="12" w:space="0" w:color="E23D8B" w:themeColor="accent4" w:themeTint="99"/>
        </w:tcBorders>
      </w:tcPr>
    </w:tblStylePr>
    <w:tblStylePr w:type="lastRow">
      <w:rPr>
        <w:b/>
        <w:bCs/>
      </w:rPr>
      <w:tblPr/>
      <w:tcPr>
        <w:tcBorders>
          <w:top w:val="double" w:sz="4" w:space="0" w:color="E23D8B" w:themeColor="accent4" w:themeTint="99"/>
        </w:tcBorders>
      </w:tcPr>
    </w:tblStylePr>
    <w:tblStylePr w:type="firstCol">
      <w:rPr>
        <w:b/>
        <w:bCs/>
      </w:rPr>
    </w:tblStylePr>
    <w:tblStylePr w:type="lastCol">
      <w:rPr>
        <w:b/>
        <w:bCs/>
      </w:rPr>
    </w:tblStylePr>
    <w:tblStylePr w:type="band1Vert">
      <w:tblPr/>
      <w:tcPr>
        <w:shd w:val="clear" w:color="auto" w:fill="F5BED8" w:themeFill="accent4" w:themeFillTint="33"/>
      </w:tcPr>
    </w:tblStylePr>
    <w:tblStylePr w:type="band1Horz">
      <w:tblPr/>
      <w:tcPr>
        <w:shd w:val="clear" w:color="auto" w:fill="F5BED8" w:themeFill="accent4" w:themeFillTint="33"/>
      </w:tcPr>
    </w:tblStylePr>
  </w:style>
  <w:style w:type="table" w:styleId="GridTable6Colorful-Accent5">
    <w:name w:val="Grid Table 6 Colorful Accent 5"/>
    <w:basedOn w:val="TableNormal"/>
    <w:uiPriority w:val="51"/>
    <w:rsid w:val="00DF245D"/>
    <w:pPr>
      <w:spacing w:after="0" w:line="240" w:lineRule="auto"/>
    </w:pPr>
    <w:rPr>
      <w:color w:val="829708" w:themeColor="accent5" w:themeShade="BF"/>
    </w:rPr>
    <w:tblPr>
      <w:tblStyleRowBandSize w:val="1"/>
      <w:tblStyleColBandSize w:val="1"/>
      <w:tblBorders>
        <w:top w:val="single" w:sz="4" w:space="0" w:color="DEF555" w:themeColor="accent5" w:themeTint="99"/>
        <w:left w:val="single" w:sz="4" w:space="0" w:color="DEF555" w:themeColor="accent5" w:themeTint="99"/>
        <w:bottom w:val="single" w:sz="4" w:space="0" w:color="DEF555" w:themeColor="accent5" w:themeTint="99"/>
        <w:right w:val="single" w:sz="4" w:space="0" w:color="DEF555" w:themeColor="accent5" w:themeTint="99"/>
        <w:insideH w:val="single" w:sz="4" w:space="0" w:color="DEF555" w:themeColor="accent5" w:themeTint="99"/>
        <w:insideV w:val="single" w:sz="4" w:space="0" w:color="DEF555" w:themeColor="accent5" w:themeTint="99"/>
      </w:tblBorders>
    </w:tblPr>
    <w:tblStylePr w:type="firstRow">
      <w:rPr>
        <w:b/>
        <w:bCs/>
      </w:rPr>
      <w:tblPr/>
      <w:tcPr>
        <w:tcBorders>
          <w:bottom w:val="single" w:sz="12" w:space="0" w:color="DEF555" w:themeColor="accent5" w:themeTint="99"/>
        </w:tcBorders>
      </w:tcPr>
    </w:tblStylePr>
    <w:tblStylePr w:type="lastRow">
      <w:rPr>
        <w:b/>
        <w:bCs/>
      </w:rPr>
      <w:tblPr/>
      <w:tcPr>
        <w:tcBorders>
          <w:top w:val="double" w:sz="4" w:space="0" w:color="DEF555" w:themeColor="accent5" w:themeTint="99"/>
        </w:tcBorders>
      </w:tcPr>
    </w:tblStylePr>
    <w:tblStylePr w:type="firstCol">
      <w:rPr>
        <w:b/>
        <w:bCs/>
      </w:rPr>
    </w:tblStylePr>
    <w:tblStylePr w:type="lastCol">
      <w:rPr>
        <w:b/>
        <w:bCs/>
      </w:rPr>
    </w:tblStylePr>
    <w:tblStylePr w:type="band1Vert">
      <w:tblPr/>
      <w:tcPr>
        <w:shd w:val="clear" w:color="auto" w:fill="F4FCC6" w:themeFill="accent5" w:themeFillTint="33"/>
      </w:tcPr>
    </w:tblStylePr>
    <w:tblStylePr w:type="band1Horz">
      <w:tblPr/>
      <w:tcPr>
        <w:shd w:val="clear" w:color="auto" w:fill="F4FCC6" w:themeFill="accent5" w:themeFillTint="33"/>
      </w:tcPr>
    </w:tblStylePr>
  </w:style>
  <w:style w:type="table" w:styleId="GridTable6Colorful-Accent6">
    <w:name w:val="Grid Table 6 Colorful Accent 6"/>
    <w:basedOn w:val="TableNormal"/>
    <w:uiPriority w:val="51"/>
    <w:rsid w:val="00DF245D"/>
    <w:pPr>
      <w:spacing w:after="0" w:line="240" w:lineRule="auto"/>
    </w:pPr>
    <w:rPr>
      <w:color w:val="2B7F27" w:themeColor="accent6" w:themeShade="BF"/>
    </w:rPr>
    <w:tblPr>
      <w:tblStyleRowBandSize w:val="1"/>
      <w:tblStyleColBandSize w:val="1"/>
      <w:tblBorders>
        <w:top w:val="single" w:sz="4" w:space="0" w:color="7FD67B" w:themeColor="accent6" w:themeTint="99"/>
        <w:left w:val="single" w:sz="4" w:space="0" w:color="7FD67B" w:themeColor="accent6" w:themeTint="99"/>
        <w:bottom w:val="single" w:sz="4" w:space="0" w:color="7FD67B" w:themeColor="accent6" w:themeTint="99"/>
        <w:right w:val="single" w:sz="4" w:space="0" w:color="7FD67B" w:themeColor="accent6" w:themeTint="99"/>
        <w:insideH w:val="single" w:sz="4" w:space="0" w:color="7FD67B" w:themeColor="accent6" w:themeTint="99"/>
        <w:insideV w:val="single" w:sz="4" w:space="0" w:color="7FD67B" w:themeColor="accent6" w:themeTint="99"/>
      </w:tblBorders>
    </w:tblPr>
    <w:tblStylePr w:type="firstRow">
      <w:rPr>
        <w:b/>
        <w:bCs/>
      </w:rPr>
      <w:tblPr/>
      <w:tcPr>
        <w:tcBorders>
          <w:bottom w:val="single" w:sz="12" w:space="0" w:color="7FD67B" w:themeColor="accent6" w:themeTint="99"/>
        </w:tcBorders>
      </w:tcPr>
    </w:tblStylePr>
    <w:tblStylePr w:type="lastRow">
      <w:rPr>
        <w:b/>
        <w:bCs/>
      </w:rPr>
      <w:tblPr/>
      <w:tcPr>
        <w:tcBorders>
          <w:top w:val="double" w:sz="4" w:space="0" w:color="7FD67B" w:themeColor="accent6" w:themeTint="99"/>
        </w:tcBorders>
      </w:tcPr>
    </w:tblStylePr>
    <w:tblStylePr w:type="firstCol">
      <w:rPr>
        <w:b/>
        <w:bCs/>
      </w:rPr>
    </w:tblStylePr>
    <w:tblStylePr w:type="lastCol">
      <w:rPr>
        <w:b/>
        <w:bCs/>
      </w:rPr>
    </w:tblStylePr>
    <w:tblStylePr w:type="band1Vert">
      <w:tblPr/>
      <w:tcPr>
        <w:shd w:val="clear" w:color="auto" w:fill="D4F1D3" w:themeFill="accent6" w:themeFillTint="33"/>
      </w:tcPr>
    </w:tblStylePr>
    <w:tblStylePr w:type="band1Horz">
      <w:tblPr/>
      <w:tcPr>
        <w:shd w:val="clear" w:color="auto" w:fill="D4F1D3" w:themeFill="accent6" w:themeFillTint="33"/>
      </w:tcPr>
    </w:tblStylePr>
  </w:style>
  <w:style w:type="table" w:styleId="GridTable7Colorful">
    <w:name w:val="Grid Table 7 Colorful"/>
    <w:basedOn w:val="TableNormal"/>
    <w:uiPriority w:val="52"/>
    <w:rsid w:val="00DF245D"/>
    <w:pPr>
      <w:spacing w:after="0" w:line="240" w:lineRule="auto"/>
    </w:pPr>
    <w:rPr>
      <w:color w:val="30353F" w:themeColor="text1"/>
    </w:rPr>
    <w:tblPr>
      <w:tblStyleRowBandSize w:val="1"/>
      <w:tblStyleColBandSize w:val="1"/>
      <w:tblBorders>
        <w:top w:val="single" w:sz="4" w:space="0" w:color="778197" w:themeColor="text1" w:themeTint="99"/>
        <w:left w:val="single" w:sz="4" w:space="0" w:color="778197" w:themeColor="text1" w:themeTint="99"/>
        <w:bottom w:val="single" w:sz="4" w:space="0" w:color="778197" w:themeColor="text1" w:themeTint="99"/>
        <w:right w:val="single" w:sz="4" w:space="0" w:color="778197" w:themeColor="text1" w:themeTint="99"/>
        <w:insideH w:val="single" w:sz="4" w:space="0" w:color="778197" w:themeColor="text1" w:themeTint="99"/>
        <w:insideV w:val="single" w:sz="4" w:space="0" w:color="778197"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1D5DC" w:themeFill="text1" w:themeFillTint="33"/>
      </w:tcPr>
    </w:tblStylePr>
    <w:tblStylePr w:type="band1Horz">
      <w:tblPr/>
      <w:tcPr>
        <w:shd w:val="clear" w:color="auto" w:fill="D1D5DC" w:themeFill="text1" w:themeFillTint="33"/>
      </w:tcPr>
    </w:tblStylePr>
    <w:tblStylePr w:type="neCell">
      <w:tblPr/>
      <w:tcPr>
        <w:tcBorders>
          <w:bottom w:val="single" w:sz="4" w:space="0" w:color="778197" w:themeColor="text1" w:themeTint="99"/>
        </w:tcBorders>
      </w:tcPr>
    </w:tblStylePr>
    <w:tblStylePr w:type="nwCell">
      <w:tblPr/>
      <w:tcPr>
        <w:tcBorders>
          <w:bottom w:val="single" w:sz="4" w:space="0" w:color="778197" w:themeColor="text1" w:themeTint="99"/>
        </w:tcBorders>
      </w:tcPr>
    </w:tblStylePr>
    <w:tblStylePr w:type="seCell">
      <w:tblPr/>
      <w:tcPr>
        <w:tcBorders>
          <w:top w:val="single" w:sz="4" w:space="0" w:color="778197" w:themeColor="text1" w:themeTint="99"/>
        </w:tcBorders>
      </w:tcPr>
    </w:tblStylePr>
    <w:tblStylePr w:type="swCell">
      <w:tblPr/>
      <w:tcPr>
        <w:tcBorders>
          <w:top w:val="single" w:sz="4" w:space="0" w:color="778197" w:themeColor="text1" w:themeTint="99"/>
        </w:tcBorders>
      </w:tcPr>
    </w:tblStylePr>
  </w:style>
  <w:style w:type="table" w:styleId="GridTable7Colorful-Accent1">
    <w:name w:val="Grid Table 7 Colorful Accent 1"/>
    <w:basedOn w:val="TableNormal"/>
    <w:uiPriority w:val="52"/>
    <w:rsid w:val="00DF245D"/>
    <w:pPr>
      <w:spacing w:after="0" w:line="240" w:lineRule="auto"/>
    </w:pPr>
    <w:rPr>
      <w:color w:val="006E93" w:themeColor="accent1" w:themeShade="BF"/>
    </w:rPr>
    <w:tblPr>
      <w:tblStyleRowBandSize w:val="1"/>
      <w:tblStyleColBandSize w:val="1"/>
      <w:tblBorders>
        <w:top w:val="single" w:sz="4" w:space="0" w:color="43CFFF" w:themeColor="accent1" w:themeTint="99"/>
        <w:left w:val="single" w:sz="4" w:space="0" w:color="43CFFF" w:themeColor="accent1" w:themeTint="99"/>
        <w:bottom w:val="single" w:sz="4" w:space="0" w:color="43CFFF" w:themeColor="accent1" w:themeTint="99"/>
        <w:right w:val="single" w:sz="4" w:space="0" w:color="43CFFF" w:themeColor="accent1" w:themeTint="99"/>
        <w:insideH w:val="single" w:sz="4" w:space="0" w:color="43CFFF" w:themeColor="accent1" w:themeTint="99"/>
        <w:insideV w:val="single" w:sz="4" w:space="0" w:color="43CF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0EFFF" w:themeFill="accent1" w:themeFillTint="33"/>
      </w:tcPr>
    </w:tblStylePr>
    <w:tblStylePr w:type="band1Horz">
      <w:tblPr/>
      <w:tcPr>
        <w:shd w:val="clear" w:color="auto" w:fill="C0EFFF" w:themeFill="accent1" w:themeFillTint="33"/>
      </w:tcPr>
    </w:tblStylePr>
    <w:tblStylePr w:type="neCell">
      <w:tblPr/>
      <w:tcPr>
        <w:tcBorders>
          <w:bottom w:val="single" w:sz="4" w:space="0" w:color="43CFFF" w:themeColor="accent1" w:themeTint="99"/>
        </w:tcBorders>
      </w:tcPr>
    </w:tblStylePr>
    <w:tblStylePr w:type="nwCell">
      <w:tblPr/>
      <w:tcPr>
        <w:tcBorders>
          <w:bottom w:val="single" w:sz="4" w:space="0" w:color="43CFFF" w:themeColor="accent1" w:themeTint="99"/>
        </w:tcBorders>
      </w:tcPr>
    </w:tblStylePr>
    <w:tblStylePr w:type="seCell">
      <w:tblPr/>
      <w:tcPr>
        <w:tcBorders>
          <w:top w:val="single" w:sz="4" w:space="0" w:color="43CFFF" w:themeColor="accent1" w:themeTint="99"/>
        </w:tcBorders>
      </w:tcPr>
    </w:tblStylePr>
    <w:tblStylePr w:type="swCell">
      <w:tblPr/>
      <w:tcPr>
        <w:tcBorders>
          <w:top w:val="single" w:sz="4" w:space="0" w:color="43CFFF" w:themeColor="accent1" w:themeTint="99"/>
        </w:tcBorders>
      </w:tcPr>
    </w:tblStylePr>
  </w:style>
  <w:style w:type="table" w:styleId="GridTable7Colorful-Accent2">
    <w:name w:val="Grid Table 7 Colorful Accent 2"/>
    <w:basedOn w:val="TableNormal"/>
    <w:uiPriority w:val="52"/>
    <w:rsid w:val="00DF245D"/>
    <w:pPr>
      <w:spacing w:after="0" w:line="240" w:lineRule="auto"/>
    </w:pPr>
    <w:rPr>
      <w:color w:val="AB0051" w:themeColor="accent2" w:themeShade="BF"/>
    </w:rPr>
    <w:tblPr>
      <w:tblStyleRowBandSize w:val="1"/>
      <w:tblStyleColBandSize w:val="1"/>
      <w:tblBorders>
        <w:top w:val="single" w:sz="4" w:space="0" w:color="FF56A6" w:themeColor="accent2" w:themeTint="99"/>
        <w:left w:val="single" w:sz="4" w:space="0" w:color="FF56A6" w:themeColor="accent2" w:themeTint="99"/>
        <w:bottom w:val="single" w:sz="4" w:space="0" w:color="FF56A6" w:themeColor="accent2" w:themeTint="99"/>
        <w:right w:val="single" w:sz="4" w:space="0" w:color="FF56A6" w:themeColor="accent2" w:themeTint="99"/>
        <w:insideH w:val="single" w:sz="4" w:space="0" w:color="FF56A6" w:themeColor="accent2" w:themeTint="99"/>
        <w:insideV w:val="single" w:sz="4" w:space="0" w:color="FF56A6"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C6E1" w:themeFill="accent2" w:themeFillTint="33"/>
      </w:tcPr>
    </w:tblStylePr>
    <w:tblStylePr w:type="band1Horz">
      <w:tblPr/>
      <w:tcPr>
        <w:shd w:val="clear" w:color="auto" w:fill="FFC6E1" w:themeFill="accent2" w:themeFillTint="33"/>
      </w:tcPr>
    </w:tblStylePr>
    <w:tblStylePr w:type="neCell">
      <w:tblPr/>
      <w:tcPr>
        <w:tcBorders>
          <w:bottom w:val="single" w:sz="4" w:space="0" w:color="FF56A6" w:themeColor="accent2" w:themeTint="99"/>
        </w:tcBorders>
      </w:tcPr>
    </w:tblStylePr>
    <w:tblStylePr w:type="nwCell">
      <w:tblPr/>
      <w:tcPr>
        <w:tcBorders>
          <w:bottom w:val="single" w:sz="4" w:space="0" w:color="FF56A6" w:themeColor="accent2" w:themeTint="99"/>
        </w:tcBorders>
      </w:tcPr>
    </w:tblStylePr>
    <w:tblStylePr w:type="seCell">
      <w:tblPr/>
      <w:tcPr>
        <w:tcBorders>
          <w:top w:val="single" w:sz="4" w:space="0" w:color="FF56A6" w:themeColor="accent2" w:themeTint="99"/>
        </w:tcBorders>
      </w:tcPr>
    </w:tblStylePr>
    <w:tblStylePr w:type="swCell">
      <w:tblPr/>
      <w:tcPr>
        <w:tcBorders>
          <w:top w:val="single" w:sz="4" w:space="0" w:color="FF56A6" w:themeColor="accent2" w:themeTint="99"/>
        </w:tcBorders>
      </w:tcPr>
    </w:tblStylePr>
  </w:style>
  <w:style w:type="table" w:styleId="GridTable7Colorful-Accent3">
    <w:name w:val="Grid Table 7 Colorful Accent 3"/>
    <w:basedOn w:val="TableNormal"/>
    <w:uiPriority w:val="52"/>
    <w:rsid w:val="00DF245D"/>
    <w:pPr>
      <w:spacing w:after="0" w:line="240" w:lineRule="auto"/>
    </w:pPr>
    <w:rPr>
      <w:color w:val="201958" w:themeColor="accent3" w:themeShade="BF"/>
    </w:rPr>
    <w:tblPr>
      <w:tblStyleRowBandSize w:val="1"/>
      <w:tblStyleColBandSize w:val="1"/>
      <w:tblBorders>
        <w:top w:val="single" w:sz="4" w:space="0" w:color="6658CF" w:themeColor="accent3" w:themeTint="99"/>
        <w:left w:val="single" w:sz="4" w:space="0" w:color="6658CF" w:themeColor="accent3" w:themeTint="99"/>
        <w:bottom w:val="single" w:sz="4" w:space="0" w:color="6658CF" w:themeColor="accent3" w:themeTint="99"/>
        <w:right w:val="single" w:sz="4" w:space="0" w:color="6658CF" w:themeColor="accent3" w:themeTint="99"/>
        <w:insideH w:val="single" w:sz="4" w:space="0" w:color="6658CF" w:themeColor="accent3" w:themeTint="99"/>
        <w:insideV w:val="single" w:sz="4" w:space="0" w:color="6658C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7EF" w:themeFill="accent3" w:themeFillTint="33"/>
      </w:tcPr>
    </w:tblStylePr>
    <w:tblStylePr w:type="band1Horz">
      <w:tblPr/>
      <w:tcPr>
        <w:shd w:val="clear" w:color="auto" w:fill="CCC7EF" w:themeFill="accent3" w:themeFillTint="33"/>
      </w:tcPr>
    </w:tblStylePr>
    <w:tblStylePr w:type="neCell">
      <w:tblPr/>
      <w:tcPr>
        <w:tcBorders>
          <w:bottom w:val="single" w:sz="4" w:space="0" w:color="6658CF" w:themeColor="accent3" w:themeTint="99"/>
        </w:tcBorders>
      </w:tcPr>
    </w:tblStylePr>
    <w:tblStylePr w:type="nwCell">
      <w:tblPr/>
      <w:tcPr>
        <w:tcBorders>
          <w:bottom w:val="single" w:sz="4" w:space="0" w:color="6658CF" w:themeColor="accent3" w:themeTint="99"/>
        </w:tcBorders>
      </w:tcPr>
    </w:tblStylePr>
    <w:tblStylePr w:type="seCell">
      <w:tblPr/>
      <w:tcPr>
        <w:tcBorders>
          <w:top w:val="single" w:sz="4" w:space="0" w:color="6658CF" w:themeColor="accent3" w:themeTint="99"/>
        </w:tcBorders>
      </w:tcPr>
    </w:tblStylePr>
    <w:tblStylePr w:type="swCell">
      <w:tblPr/>
      <w:tcPr>
        <w:tcBorders>
          <w:top w:val="single" w:sz="4" w:space="0" w:color="6658CF" w:themeColor="accent3" w:themeTint="99"/>
        </w:tcBorders>
      </w:tcPr>
    </w:tblStylePr>
  </w:style>
  <w:style w:type="table" w:styleId="GridTable7Colorful-Accent4">
    <w:name w:val="Grid Table 7 Colorful Accent 4"/>
    <w:basedOn w:val="TableNormal"/>
    <w:uiPriority w:val="52"/>
    <w:rsid w:val="00DF245D"/>
    <w:pPr>
      <w:spacing w:after="0" w:line="240" w:lineRule="auto"/>
    </w:pPr>
    <w:rPr>
      <w:color w:val="5B0D32" w:themeColor="accent4" w:themeShade="BF"/>
    </w:rPr>
    <w:tblPr>
      <w:tblStyleRowBandSize w:val="1"/>
      <w:tblStyleColBandSize w:val="1"/>
      <w:tblBorders>
        <w:top w:val="single" w:sz="4" w:space="0" w:color="E23D8B" w:themeColor="accent4" w:themeTint="99"/>
        <w:left w:val="single" w:sz="4" w:space="0" w:color="E23D8B" w:themeColor="accent4" w:themeTint="99"/>
        <w:bottom w:val="single" w:sz="4" w:space="0" w:color="E23D8B" w:themeColor="accent4" w:themeTint="99"/>
        <w:right w:val="single" w:sz="4" w:space="0" w:color="E23D8B" w:themeColor="accent4" w:themeTint="99"/>
        <w:insideH w:val="single" w:sz="4" w:space="0" w:color="E23D8B" w:themeColor="accent4" w:themeTint="99"/>
        <w:insideV w:val="single" w:sz="4" w:space="0" w:color="E23D8B"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5BED8" w:themeFill="accent4" w:themeFillTint="33"/>
      </w:tcPr>
    </w:tblStylePr>
    <w:tblStylePr w:type="band1Horz">
      <w:tblPr/>
      <w:tcPr>
        <w:shd w:val="clear" w:color="auto" w:fill="F5BED8" w:themeFill="accent4" w:themeFillTint="33"/>
      </w:tcPr>
    </w:tblStylePr>
    <w:tblStylePr w:type="neCell">
      <w:tblPr/>
      <w:tcPr>
        <w:tcBorders>
          <w:bottom w:val="single" w:sz="4" w:space="0" w:color="E23D8B" w:themeColor="accent4" w:themeTint="99"/>
        </w:tcBorders>
      </w:tcPr>
    </w:tblStylePr>
    <w:tblStylePr w:type="nwCell">
      <w:tblPr/>
      <w:tcPr>
        <w:tcBorders>
          <w:bottom w:val="single" w:sz="4" w:space="0" w:color="E23D8B" w:themeColor="accent4" w:themeTint="99"/>
        </w:tcBorders>
      </w:tcPr>
    </w:tblStylePr>
    <w:tblStylePr w:type="seCell">
      <w:tblPr/>
      <w:tcPr>
        <w:tcBorders>
          <w:top w:val="single" w:sz="4" w:space="0" w:color="E23D8B" w:themeColor="accent4" w:themeTint="99"/>
        </w:tcBorders>
      </w:tcPr>
    </w:tblStylePr>
    <w:tblStylePr w:type="swCell">
      <w:tblPr/>
      <w:tcPr>
        <w:tcBorders>
          <w:top w:val="single" w:sz="4" w:space="0" w:color="E23D8B" w:themeColor="accent4" w:themeTint="99"/>
        </w:tcBorders>
      </w:tcPr>
    </w:tblStylePr>
  </w:style>
  <w:style w:type="table" w:styleId="GridTable7Colorful-Accent5">
    <w:name w:val="Grid Table 7 Colorful Accent 5"/>
    <w:basedOn w:val="TableNormal"/>
    <w:uiPriority w:val="52"/>
    <w:rsid w:val="00DF245D"/>
    <w:pPr>
      <w:spacing w:after="0" w:line="240" w:lineRule="auto"/>
    </w:pPr>
    <w:rPr>
      <w:color w:val="829708" w:themeColor="accent5" w:themeShade="BF"/>
    </w:rPr>
    <w:tblPr>
      <w:tblStyleRowBandSize w:val="1"/>
      <w:tblStyleColBandSize w:val="1"/>
      <w:tblBorders>
        <w:top w:val="single" w:sz="4" w:space="0" w:color="DEF555" w:themeColor="accent5" w:themeTint="99"/>
        <w:left w:val="single" w:sz="4" w:space="0" w:color="DEF555" w:themeColor="accent5" w:themeTint="99"/>
        <w:bottom w:val="single" w:sz="4" w:space="0" w:color="DEF555" w:themeColor="accent5" w:themeTint="99"/>
        <w:right w:val="single" w:sz="4" w:space="0" w:color="DEF555" w:themeColor="accent5" w:themeTint="99"/>
        <w:insideH w:val="single" w:sz="4" w:space="0" w:color="DEF555" w:themeColor="accent5" w:themeTint="99"/>
        <w:insideV w:val="single" w:sz="4" w:space="0" w:color="DEF55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FCC6" w:themeFill="accent5" w:themeFillTint="33"/>
      </w:tcPr>
    </w:tblStylePr>
    <w:tblStylePr w:type="band1Horz">
      <w:tblPr/>
      <w:tcPr>
        <w:shd w:val="clear" w:color="auto" w:fill="F4FCC6" w:themeFill="accent5" w:themeFillTint="33"/>
      </w:tcPr>
    </w:tblStylePr>
    <w:tblStylePr w:type="neCell">
      <w:tblPr/>
      <w:tcPr>
        <w:tcBorders>
          <w:bottom w:val="single" w:sz="4" w:space="0" w:color="DEF555" w:themeColor="accent5" w:themeTint="99"/>
        </w:tcBorders>
      </w:tcPr>
    </w:tblStylePr>
    <w:tblStylePr w:type="nwCell">
      <w:tblPr/>
      <w:tcPr>
        <w:tcBorders>
          <w:bottom w:val="single" w:sz="4" w:space="0" w:color="DEF555" w:themeColor="accent5" w:themeTint="99"/>
        </w:tcBorders>
      </w:tcPr>
    </w:tblStylePr>
    <w:tblStylePr w:type="seCell">
      <w:tblPr/>
      <w:tcPr>
        <w:tcBorders>
          <w:top w:val="single" w:sz="4" w:space="0" w:color="DEF555" w:themeColor="accent5" w:themeTint="99"/>
        </w:tcBorders>
      </w:tcPr>
    </w:tblStylePr>
    <w:tblStylePr w:type="swCell">
      <w:tblPr/>
      <w:tcPr>
        <w:tcBorders>
          <w:top w:val="single" w:sz="4" w:space="0" w:color="DEF555" w:themeColor="accent5" w:themeTint="99"/>
        </w:tcBorders>
      </w:tcPr>
    </w:tblStylePr>
  </w:style>
  <w:style w:type="table" w:styleId="GridTable7Colorful-Accent6">
    <w:name w:val="Grid Table 7 Colorful Accent 6"/>
    <w:basedOn w:val="TableNormal"/>
    <w:uiPriority w:val="52"/>
    <w:rsid w:val="00DF245D"/>
    <w:pPr>
      <w:spacing w:after="0" w:line="240" w:lineRule="auto"/>
    </w:pPr>
    <w:rPr>
      <w:color w:val="2B7F27" w:themeColor="accent6" w:themeShade="BF"/>
    </w:rPr>
    <w:tblPr>
      <w:tblStyleRowBandSize w:val="1"/>
      <w:tblStyleColBandSize w:val="1"/>
      <w:tblBorders>
        <w:top w:val="single" w:sz="4" w:space="0" w:color="7FD67B" w:themeColor="accent6" w:themeTint="99"/>
        <w:left w:val="single" w:sz="4" w:space="0" w:color="7FD67B" w:themeColor="accent6" w:themeTint="99"/>
        <w:bottom w:val="single" w:sz="4" w:space="0" w:color="7FD67B" w:themeColor="accent6" w:themeTint="99"/>
        <w:right w:val="single" w:sz="4" w:space="0" w:color="7FD67B" w:themeColor="accent6" w:themeTint="99"/>
        <w:insideH w:val="single" w:sz="4" w:space="0" w:color="7FD67B" w:themeColor="accent6" w:themeTint="99"/>
        <w:insideV w:val="single" w:sz="4" w:space="0" w:color="7FD67B"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4F1D3" w:themeFill="accent6" w:themeFillTint="33"/>
      </w:tcPr>
    </w:tblStylePr>
    <w:tblStylePr w:type="band1Horz">
      <w:tblPr/>
      <w:tcPr>
        <w:shd w:val="clear" w:color="auto" w:fill="D4F1D3" w:themeFill="accent6" w:themeFillTint="33"/>
      </w:tcPr>
    </w:tblStylePr>
    <w:tblStylePr w:type="neCell">
      <w:tblPr/>
      <w:tcPr>
        <w:tcBorders>
          <w:bottom w:val="single" w:sz="4" w:space="0" w:color="7FD67B" w:themeColor="accent6" w:themeTint="99"/>
        </w:tcBorders>
      </w:tcPr>
    </w:tblStylePr>
    <w:tblStylePr w:type="nwCell">
      <w:tblPr/>
      <w:tcPr>
        <w:tcBorders>
          <w:bottom w:val="single" w:sz="4" w:space="0" w:color="7FD67B" w:themeColor="accent6" w:themeTint="99"/>
        </w:tcBorders>
      </w:tcPr>
    </w:tblStylePr>
    <w:tblStylePr w:type="seCell">
      <w:tblPr/>
      <w:tcPr>
        <w:tcBorders>
          <w:top w:val="single" w:sz="4" w:space="0" w:color="7FD67B" w:themeColor="accent6" w:themeTint="99"/>
        </w:tcBorders>
      </w:tcPr>
    </w:tblStylePr>
    <w:tblStylePr w:type="swCell">
      <w:tblPr/>
      <w:tcPr>
        <w:tcBorders>
          <w:top w:val="single" w:sz="4" w:space="0" w:color="7FD67B" w:themeColor="accent6" w:themeTint="99"/>
        </w:tcBorders>
      </w:tcPr>
    </w:tblStylePr>
  </w:style>
  <w:style w:type="character" w:styleId="Hashtag">
    <w:name w:val="Hashtag"/>
    <w:basedOn w:val="DefaultParagraphFont"/>
    <w:uiPriority w:val="99"/>
    <w:semiHidden/>
    <w:unhideWhenUsed/>
    <w:rsid w:val="00DF245D"/>
    <w:rPr>
      <w:color w:val="2B579A"/>
      <w:shd w:val="clear" w:color="auto" w:fill="E1DFDD"/>
    </w:rPr>
  </w:style>
  <w:style w:type="character" w:styleId="HTMLAcronym">
    <w:name w:val="HTML Acronym"/>
    <w:basedOn w:val="DefaultParagraphFont"/>
    <w:uiPriority w:val="99"/>
    <w:semiHidden/>
    <w:unhideWhenUsed/>
    <w:rsid w:val="00DF245D"/>
  </w:style>
  <w:style w:type="paragraph" w:styleId="HTMLAddress">
    <w:name w:val="HTML Address"/>
    <w:basedOn w:val="Normal"/>
    <w:link w:val="HTMLAddressChar"/>
    <w:uiPriority w:val="99"/>
    <w:semiHidden/>
    <w:unhideWhenUsed/>
    <w:rsid w:val="00DF245D"/>
    <w:pPr>
      <w:spacing w:after="0" w:line="240" w:lineRule="auto"/>
    </w:pPr>
    <w:rPr>
      <w:i/>
      <w:iCs/>
    </w:rPr>
  </w:style>
  <w:style w:type="character" w:customStyle="1" w:styleId="HTMLAddressChar">
    <w:name w:val="HTML Address Char"/>
    <w:basedOn w:val="DefaultParagraphFont"/>
    <w:link w:val="HTMLAddress"/>
    <w:uiPriority w:val="99"/>
    <w:semiHidden/>
    <w:rsid w:val="00DF245D"/>
    <w:rPr>
      <w:rFonts w:ascii="Calibri" w:hAnsi="Calibri"/>
      <w:i/>
      <w:iCs/>
    </w:rPr>
  </w:style>
  <w:style w:type="character" w:styleId="HTMLCite">
    <w:name w:val="HTML Cite"/>
    <w:basedOn w:val="DefaultParagraphFont"/>
    <w:uiPriority w:val="99"/>
    <w:semiHidden/>
    <w:unhideWhenUsed/>
    <w:rsid w:val="00DF245D"/>
    <w:rPr>
      <w:i/>
      <w:iCs/>
    </w:rPr>
  </w:style>
  <w:style w:type="character" w:styleId="HTMLCode">
    <w:name w:val="HTML Code"/>
    <w:basedOn w:val="DefaultParagraphFont"/>
    <w:uiPriority w:val="99"/>
    <w:semiHidden/>
    <w:unhideWhenUsed/>
    <w:rsid w:val="00DF245D"/>
    <w:rPr>
      <w:rFonts w:ascii="Consolas" w:hAnsi="Consolas"/>
      <w:sz w:val="20"/>
      <w:szCs w:val="20"/>
    </w:rPr>
  </w:style>
  <w:style w:type="character" w:styleId="HTMLDefinition">
    <w:name w:val="HTML Definition"/>
    <w:basedOn w:val="DefaultParagraphFont"/>
    <w:uiPriority w:val="99"/>
    <w:semiHidden/>
    <w:unhideWhenUsed/>
    <w:rsid w:val="00DF245D"/>
    <w:rPr>
      <w:i/>
      <w:iCs/>
    </w:rPr>
  </w:style>
  <w:style w:type="character" w:styleId="HTMLKeyboard">
    <w:name w:val="HTML Keyboard"/>
    <w:basedOn w:val="DefaultParagraphFont"/>
    <w:uiPriority w:val="99"/>
    <w:semiHidden/>
    <w:unhideWhenUsed/>
    <w:rsid w:val="00DF245D"/>
    <w:rPr>
      <w:rFonts w:ascii="Consolas" w:hAnsi="Consolas"/>
      <w:sz w:val="20"/>
      <w:szCs w:val="20"/>
    </w:rPr>
  </w:style>
  <w:style w:type="paragraph" w:styleId="HTMLPreformatted">
    <w:name w:val="HTML Preformatted"/>
    <w:basedOn w:val="Normal"/>
    <w:link w:val="HTMLPreformattedChar"/>
    <w:uiPriority w:val="99"/>
    <w:semiHidden/>
    <w:unhideWhenUsed/>
    <w:rsid w:val="00DF245D"/>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DF245D"/>
    <w:rPr>
      <w:rFonts w:ascii="Consolas" w:hAnsi="Consolas"/>
      <w:sz w:val="20"/>
      <w:szCs w:val="20"/>
    </w:rPr>
  </w:style>
  <w:style w:type="character" w:styleId="HTMLSample">
    <w:name w:val="HTML Sample"/>
    <w:basedOn w:val="DefaultParagraphFont"/>
    <w:uiPriority w:val="99"/>
    <w:semiHidden/>
    <w:unhideWhenUsed/>
    <w:rsid w:val="00DF245D"/>
    <w:rPr>
      <w:rFonts w:ascii="Consolas" w:hAnsi="Consolas"/>
      <w:sz w:val="24"/>
      <w:szCs w:val="24"/>
    </w:rPr>
  </w:style>
  <w:style w:type="character" w:styleId="HTMLTypewriter">
    <w:name w:val="HTML Typewriter"/>
    <w:basedOn w:val="DefaultParagraphFont"/>
    <w:uiPriority w:val="99"/>
    <w:semiHidden/>
    <w:unhideWhenUsed/>
    <w:rsid w:val="00DF245D"/>
    <w:rPr>
      <w:rFonts w:ascii="Consolas" w:hAnsi="Consolas"/>
      <w:sz w:val="20"/>
      <w:szCs w:val="20"/>
    </w:rPr>
  </w:style>
  <w:style w:type="character" w:styleId="HTMLVariable">
    <w:name w:val="HTML Variable"/>
    <w:basedOn w:val="DefaultParagraphFont"/>
    <w:uiPriority w:val="99"/>
    <w:semiHidden/>
    <w:unhideWhenUsed/>
    <w:rsid w:val="00DF245D"/>
    <w:rPr>
      <w:i/>
      <w:iCs/>
    </w:rPr>
  </w:style>
  <w:style w:type="paragraph" w:styleId="Index1">
    <w:name w:val="index 1"/>
    <w:basedOn w:val="Normal"/>
    <w:next w:val="Normal"/>
    <w:autoRedefine/>
    <w:uiPriority w:val="99"/>
    <w:semiHidden/>
    <w:unhideWhenUsed/>
    <w:rsid w:val="00DF245D"/>
    <w:pPr>
      <w:spacing w:after="0" w:line="240" w:lineRule="auto"/>
      <w:ind w:left="220" w:hanging="220"/>
    </w:pPr>
  </w:style>
  <w:style w:type="paragraph" w:styleId="Index2">
    <w:name w:val="index 2"/>
    <w:basedOn w:val="Normal"/>
    <w:next w:val="Normal"/>
    <w:autoRedefine/>
    <w:uiPriority w:val="99"/>
    <w:semiHidden/>
    <w:unhideWhenUsed/>
    <w:rsid w:val="00DF245D"/>
    <w:pPr>
      <w:spacing w:after="0" w:line="240" w:lineRule="auto"/>
      <w:ind w:left="440" w:hanging="220"/>
    </w:pPr>
  </w:style>
  <w:style w:type="paragraph" w:styleId="Index3">
    <w:name w:val="index 3"/>
    <w:basedOn w:val="Normal"/>
    <w:next w:val="Normal"/>
    <w:autoRedefine/>
    <w:uiPriority w:val="99"/>
    <w:semiHidden/>
    <w:unhideWhenUsed/>
    <w:rsid w:val="00DF245D"/>
    <w:pPr>
      <w:spacing w:after="0" w:line="240" w:lineRule="auto"/>
      <w:ind w:left="660" w:hanging="220"/>
    </w:pPr>
  </w:style>
  <w:style w:type="paragraph" w:styleId="Index4">
    <w:name w:val="index 4"/>
    <w:basedOn w:val="Normal"/>
    <w:next w:val="Normal"/>
    <w:autoRedefine/>
    <w:uiPriority w:val="99"/>
    <w:semiHidden/>
    <w:unhideWhenUsed/>
    <w:rsid w:val="00DF245D"/>
    <w:pPr>
      <w:spacing w:after="0" w:line="240" w:lineRule="auto"/>
      <w:ind w:left="880" w:hanging="220"/>
    </w:pPr>
  </w:style>
  <w:style w:type="paragraph" w:styleId="Index5">
    <w:name w:val="index 5"/>
    <w:basedOn w:val="Normal"/>
    <w:next w:val="Normal"/>
    <w:autoRedefine/>
    <w:uiPriority w:val="99"/>
    <w:semiHidden/>
    <w:unhideWhenUsed/>
    <w:rsid w:val="00DF245D"/>
    <w:pPr>
      <w:spacing w:after="0" w:line="240" w:lineRule="auto"/>
      <w:ind w:left="1100" w:hanging="220"/>
    </w:pPr>
  </w:style>
  <w:style w:type="paragraph" w:styleId="Index6">
    <w:name w:val="index 6"/>
    <w:basedOn w:val="Normal"/>
    <w:next w:val="Normal"/>
    <w:autoRedefine/>
    <w:uiPriority w:val="99"/>
    <w:semiHidden/>
    <w:unhideWhenUsed/>
    <w:rsid w:val="00DF245D"/>
    <w:pPr>
      <w:spacing w:after="0" w:line="240" w:lineRule="auto"/>
      <w:ind w:left="1320" w:hanging="220"/>
    </w:pPr>
  </w:style>
  <w:style w:type="paragraph" w:styleId="Index7">
    <w:name w:val="index 7"/>
    <w:basedOn w:val="Normal"/>
    <w:next w:val="Normal"/>
    <w:autoRedefine/>
    <w:uiPriority w:val="99"/>
    <w:semiHidden/>
    <w:unhideWhenUsed/>
    <w:rsid w:val="00DF245D"/>
    <w:pPr>
      <w:spacing w:after="0" w:line="240" w:lineRule="auto"/>
      <w:ind w:left="1540" w:hanging="220"/>
    </w:pPr>
  </w:style>
  <w:style w:type="paragraph" w:styleId="Index8">
    <w:name w:val="index 8"/>
    <w:basedOn w:val="Normal"/>
    <w:next w:val="Normal"/>
    <w:autoRedefine/>
    <w:uiPriority w:val="99"/>
    <w:semiHidden/>
    <w:unhideWhenUsed/>
    <w:rsid w:val="00DF245D"/>
    <w:pPr>
      <w:spacing w:after="0" w:line="240" w:lineRule="auto"/>
      <w:ind w:left="1760" w:hanging="220"/>
    </w:pPr>
  </w:style>
  <w:style w:type="paragraph" w:styleId="Index9">
    <w:name w:val="index 9"/>
    <w:basedOn w:val="Normal"/>
    <w:next w:val="Normal"/>
    <w:autoRedefine/>
    <w:uiPriority w:val="99"/>
    <w:semiHidden/>
    <w:unhideWhenUsed/>
    <w:rsid w:val="00DF245D"/>
    <w:pPr>
      <w:spacing w:after="0" w:line="240" w:lineRule="auto"/>
      <w:ind w:left="1980" w:hanging="220"/>
    </w:pPr>
  </w:style>
  <w:style w:type="paragraph" w:styleId="IndexHeading">
    <w:name w:val="index heading"/>
    <w:basedOn w:val="Normal"/>
    <w:next w:val="Index1"/>
    <w:uiPriority w:val="99"/>
    <w:semiHidden/>
    <w:unhideWhenUsed/>
    <w:rsid w:val="00DF245D"/>
    <w:rPr>
      <w:rFonts w:asciiTheme="majorHAnsi" w:eastAsiaTheme="majorEastAsia" w:hAnsiTheme="majorHAnsi" w:cstheme="majorBidi"/>
      <w:b/>
      <w:bCs/>
    </w:rPr>
  </w:style>
  <w:style w:type="table" w:styleId="LightGrid">
    <w:name w:val="Light Grid"/>
    <w:basedOn w:val="TableNormal"/>
    <w:uiPriority w:val="62"/>
    <w:semiHidden/>
    <w:unhideWhenUsed/>
    <w:rsid w:val="00DF245D"/>
    <w:pPr>
      <w:spacing w:after="0" w:line="240" w:lineRule="auto"/>
    </w:pPr>
    <w:tblPr>
      <w:tblStyleRowBandSize w:val="1"/>
      <w:tblStyleColBandSize w:val="1"/>
      <w:tblBorders>
        <w:top w:val="single" w:sz="8" w:space="0" w:color="30353F" w:themeColor="text1"/>
        <w:left w:val="single" w:sz="8" w:space="0" w:color="30353F" w:themeColor="text1"/>
        <w:bottom w:val="single" w:sz="8" w:space="0" w:color="30353F" w:themeColor="text1"/>
        <w:right w:val="single" w:sz="8" w:space="0" w:color="30353F" w:themeColor="text1"/>
        <w:insideH w:val="single" w:sz="8" w:space="0" w:color="30353F" w:themeColor="text1"/>
        <w:insideV w:val="single" w:sz="8" w:space="0" w:color="30353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30353F" w:themeColor="text1"/>
          <w:left w:val="single" w:sz="8" w:space="0" w:color="30353F" w:themeColor="text1"/>
          <w:bottom w:val="single" w:sz="18" w:space="0" w:color="30353F" w:themeColor="text1"/>
          <w:right w:val="single" w:sz="8" w:space="0" w:color="30353F" w:themeColor="text1"/>
          <w:insideH w:val="nil"/>
          <w:insideV w:val="single" w:sz="8" w:space="0" w:color="30353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30353F" w:themeColor="text1"/>
          <w:left w:val="single" w:sz="8" w:space="0" w:color="30353F" w:themeColor="text1"/>
          <w:bottom w:val="single" w:sz="8" w:space="0" w:color="30353F" w:themeColor="text1"/>
          <w:right w:val="single" w:sz="8" w:space="0" w:color="30353F" w:themeColor="text1"/>
          <w:insideH w:val="nil"/>
          <w:insideV w:val="single" w:sz="8" w:space="0" w:color="30353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30353F" w:themeColor="text1"/>
          <w:left w:val="single" w:sz="8" w:space="0" w:color="30353F" w:themeColor="text1"/>
          <w:bottom w:val="single" w:sz="8" w:space="0" w:color="30353F" w:themeColor="text1"/>
          <w:right w:val="single" w:sz="8" w:space="0" w:color="30353F" w:themeColor="text1"/>
        </w:tcBorders>
      </w:tcPr>
    </w:tblStylePr>
    <w:tblStylePr w:type="band1Vert">
      <w:tblPr/>
      <w:tcPr>
        <w:tcBorders>
          <w:top w:val="single" w:sz="8" w:space="0" w:color="30353F" w:themeColor="text1"/>
          <w:left w:val="single" w:sz="8" w:space="0" w:color="30353F" w:themeColor="text1"/>
          <w:bottom w:val="single" w:sz="8" w:space="0" w:color="30353F" w:themeColor="text1"/>
          <w:right w:val="single" w:sz="8" w:space="0" w:color="30353F" w:themeColor="text1"/>
        </w:tcBorders>
        <w:shd w:val="clear" w:color="auto" w:fill="C7CBD4" w:themeFill="text1" w:themeFillTint="3F"/>
      </w:tcPr>
    </w:tblStylePr>
    <w:tblStylePr w:type="band1Horz">
      <w:tblPr/>
      <w:tcPr>
        <w:tcBorders>
          <w:top w:val="single" w:sz="8" w:space="0" w:color="30353F" w:themeColor="text1"/>
          <w:left w:val="single" w:sz="8" w:space="0" w:color="30353F" w:themeColor="text1"/>
          <w:bottom w:val="single" w:sz="8" w:space="0" w:color="30353F" w:themeColor="text1"/>
          <w:right w:val="single" w:sz="8" w:space="0" w:color="30353F" w:themeColor="text1"/>
          <w:insideV w:val="single" w:sz="8" w:space="0" w:color="30353F" w:themeColor="text1"/>
        </w:tcBorders>
        <w:shd w:val="clear" w:color="auto" w:fill="C7CBD4" w:themeFill="text1" w:themeFillTint="3F"/>
      </w:tcPr>
    </w:tblStylePr>
    <w:tblStylePr w:type="band2Horz">
      <w:tblPr/>
      <w:tcPr>
        <w:tcBorders>
          <w:top w:val="single" w:sz="8" w:space="0" w:color="30353F" w:themeColor="text1"/>
          <w:left w:val="single" w:sz="8" w:space="0" w:color="30353F" w:themeColor="text1"/>
          <w:bottom w:val="single" w:sz="8" w:space="0" w:color="30353F" w:themeColor="text1"/>
          <w:right w:val="single" w:sz="8" w:space="0" w:color="30353F" w:themeColor="text1"/>
          <w:insideV w:val="single" w:sz="8" w:space="0" w:color="30353F" w:themeColor="text1"/>
        </w:tcBorders>
      </w:tcPr>
    </w:tblStylePr>
  </w:style>
  <w:style w:type="table" w:styleId="LightGrid-Accent1">
    <w:name w:val="Light Grid Accent 1"/>
    <w:basedOn w:val="TableNormal"/>
    <w:uiPriority w:val="62"/>
    <w:semiHidden/>
    <w:unhideWhenUsed/>
    <w:rsid w:val="00DF245D"/>
    <w:pPr>
      <w:spacing w:after="0" w:line="240" w:lineRule="auto"/>
    </w:pPr>
    <w:tblPr>
      <w:tblStyleRowBandSize w:val="1"/>
      <w:tblStyleColBandSize w:val="1"/>
      <w:tblBorders>
        <w:top w:val="single" w:sz="8" w:space="0" w:color="0094C5" w:themeColor="accent1"/>
        <w:left w:val="single" w:sz="8" w:space="0" w:color="0094C5" w:themeColor="accent1"/>
        <w:bottom w:val="single" w:sz="8" w:space="0" w:color="0094C5" w:themeColor="accent1"/>
        <w:right w:val="single" w:sz="8" w:space="0" w:color="0094C5" w:themeColor="accent1"/>
        <w:insideH w:val="single" w:sz="8" w:space="0" w:color="0094C5" w:themeColor="accent1"/>
        <w:insideV w:val="single" w:sz="8" w:space="0" w:color="0094C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94C5" w:themeColor="accent1"/>
          <w:left w:val="single" w:sz="8" w:space="0" w:color="0094C5" w:themeColor="accent1"/>
          <w:bottom w:val="single" w:sz="18" w:space="0" w:color="0094C5" w:themeColor="accent1"/>
          <w:right w:val="single" w:sz="8" w:space="0" w:color="0094C5" w:themeColor="accent1"/>
          <w:insideH w:val="nil"/>
          <w:insideV w:val="single" w:sz="8" w:space="0" w:color="0094C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94C5" w:themeColor="accent1"/>
          <w:left w:val="single" w:sz="8" w:space="0" w:color="0094C5" w:themeColor="accent1"/>
          <w:bottom w:val="single" w:sz="8" w:space="0" w:color="0094C5" w:themeColor="accent1"/>
          <w:right w:val="single" w:sz="8" w:space="0" w:color="0094C5" w:themeColor="accent1"/>
          <w:insideH w:val="nil"/>
          <w:insideV w:val="single" w:sz="8" w:space="0" w:color="0094C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94C5" w:themeColor="accent1"/>
          <w:left w:val="single" w:sz="8" w:space="0" w:color="0094C5" w:themeColor="accent1"/>
          <w:bottom w:val="single" w:sz="8" w:space="0" w:color="0094C5" w:themeColor="accent1"/>
          <w:right w:val="single" w:sz="8" w:space="0" w:color="0094C5" w:themeColor="accent1"/>
        </w:tcBorders>
      </w:tcPr>
    </w:tblStylePr>
    <w:tblStylePr w:type="band1Vert">
      <w:tblPr/>
      <w:tcPr>
        <w:tcBorders>
          <w:top w:val="single" w:sz="8" w:space="0" w:color="0094C5" w:themeColor="accent1"/>
          <w:left w:val="single" w:sz="8" w:space="0" w:color="0094C5" w:themeColor="accent1"/>
          <w:bottom w:val="single" w:sz="8" w:space="0" w:color="0094C5" w:themeColor="accent1"/>
          <w:right w:val="single" w:sz="8" w:space="0" w:color="0094C5" w:themeColor="accent1"/>
        </w:tcBorders>
        <w:shd w:val="clear" w:color="auto" w:fill="B1EBFF" w:themeFill="accent1" w:themeFillTint="3F"/>
      </w:tcPr>
    </w:tblStylePr>
    <w:tblStylePr w:type="band1Horz">
      <w:tblPr/>
      <w:tcPr>
        <w:tcBorders>
          <w:top w:val="single" w:sz="8" w:space="0" w:color="0094C5" w:themeColor="accent1"/>
          <w:left w:val="single" w:sz="8" w:space="0" w:color="0094C5" w:themeColor="accent1"/>
          <w:bottom w:val="single" w:sz="8" w:space="0" w:color="0094C5" w:themeColor="accent1"/>
          <w:right w:val="single" w:sz="8" w:space="0" w:color="0094C5" w:themeColor="accent1"/>
          <w:insideV w:val="single" w:sz="8" w:space="0" w:color="0094C5" w:themeColor="accent1"/>
        </w:tcBorders>
        <w:shd w:val="clear" w:color="auto" w:fill="B1EBFF" w:themeFill="accent1" w:themeFillTint="3F"/>
      </w:tcPr>
    </w:tblStylePr>
    <w:tblStylePr w:type="band2Horz">
      <w:tblPr/>
      <w:tcPr>
        <w:tcBorders>
          <w:top w:val="single" w:sz="8" w:space="0" w:color="0094C5" w:themeColor="accent1"/>
          <w:left w:val="single" w:sz="8" w:space="0" w:color="0094C5" w:themeColor="accent1"/>
          <w:bottom w:val="single" w:sz="8" w:space="0" w:color="0094C5" w:themeColor="accent1"/>
          <w:right w:val="single" w:sz="8" w:space="0" w:color="0094C5" w:themeColor="accent1"/>
          <w:insideV w:val="single" w:sz="8" w:space="0" w:color="0094C5" w:themeColor="accent1"/>
        </w:tcBorders>
      </w:tcPr>
    </w:tblStylePr>
  </w:style>
  <w:style w:type="table" w:styleId="LightGrid-Accent2">
    <w:name w:val="Light Grid Accent 2"/>
    <w:basedOn w:val="TableNormal"/>
    <w:uiPriority w:val="62"/>
    <w:semiHidden/>
    <w:unhideWhenUsed/>
    <w:rsid w:val="00DF245D"/>
    <w:pPr>
      <w:spacing w:after="0" w:line="240" w:lineRule="auto"/>
    </w:pPr>
    <w:tblPr>
      <w:tblStyleRowBandSize w:val="1"/>
      <w:tblStyleColBandSize w:val="1"/>
      <w:tblBorders>
        <w:top w:val="single" w:sz="8" w:space="0" w:color="E5006D" w:themeColor="accent2"/>
        <w:left w:val="single" w:sz="8" w:space="0" w:color="E5006D" w:themeColor="accent2"/>
        <w:bottom w:val="single" w:sz="8" w:space="0" w:color="E5006D" w:themeColor="accent2"/>
        <w:right w:val="single" w:sz="8" w:space="0" w:color="E5006D" w:themeColor="accent2"/>
        <w:insideH w:val="single" w:sz="8" w:space="0" w:color="E5006D" w:themeColor="accent2"/>
        <w:insideV w:val="single" w:sz="8" w:space="0" w:color="E5006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5006D" w:themeColor="accent2"/>
          <w:left w:val="single" w:sz="8" w:space="0" w:color="E5006D" w:themeColor="accent2"/>
          <w:bottom w:val="single" w:sz="18" w:space="0" w:color="E5006D" w:themeColor="accent2"/>
          <w:right w:val="single" w:sz="8" w:space="0" w:color="E5006D" w:themeColor="accent2"/>
          <w:insideH w:val="nil"/>
          <w:insideV w:val="single" w:sz="8" w:space="0" w:color="E5006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5006D" w:themeColor="accent2"/>
          <w:left w:val="single" w:sz="8" w:space="0" w:color="E5006D" w:themeColor="accent2"/>
          <w:bottom w:val="single" w:sz="8" w:space="0" w:color="E5006D" w:themeColor="accent2"/>
          <w:right w:val="single" w:sz="8" w:space="0" w:color="E5006D" w:themeColor="accent2"/>
          <w:insideH w:val="nil"/>
          <w:insideV w:val="single" w:sz="8" w:space="0" w:color="E5006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5006D" w:themeColor="accent2"/>
          <w:left w:val="single" w:sz="8" w:space="0" w:color="E5006D" w:themeColor="accent2"/>
          <w:bottom w:val="single" w:sz="8" w:space="0" w:color="E5006D" w:themeColor="accent2"/>
          <w:right w:val="single" w:sz="8" w:space="0" w:color="E5006D" w:themeColor="accent2"/>
        </w:tcBorders>
      </w:tcPr>
    </w:tblStylePr>
    <w:tblStylePr w:type="band1Vert">
      <w:tblPr/>
      <w:tcPr>
        <w:tcBorders>
          <w:top w:val="single" w:sz="8" w:space="0" w:color="E5006D" w:themeColor="accent2"/>
          <w:left w:val="single" w:sz="8" w:space="0" w:color="E5006D" w:themeColor="accent2"/>
          <w:bottom w:val="single" w:sz="8" w:space="0" w:color="E5006D" w:themeColor="accent2"/>
          <w:right w:val="single" w:sz="8" w:space="0" w:color="E5006D" w:themeColor="accent2"/>
        </w:tcBorders>
        <w:shd w:val="clear" w:color="auto" w:fill="FFB9DA" w:themeFill="accent2" w:themeFillTint="3F"/>
      </w:tcPr>
    </w:tblStylePr>
    <w:tblStylePr w:type="band1Horz">
      <w:tblPr/>
      <w:tcPr>
        <w:tcBorders>
          <w:top w:val="single" w:sz="8" w:space="0" w:color="E5006D" w:themeColor="accent2"/>
          <w:left w:val="single" w:sz="8" w:space="0" w:color="E5006D" w:themeColor="accent2"/>
          <w:bottom w:val="single" w:sz="8" w:space="0" w:color="E5006D" w:themeColor="accent2"/>
          <w:right w:val="single" w:sz="8" w:space="0" w:color="E5006D" w:themeColor="accent2"/>
          <w:insideV w:val="single" w:sz="8" w:space="0" w:color="E5006D" w:themeColor="accent2"/>
        </w:tcBorders>
        <w:shd w:val="clear" w:color="auto" w:fill="FFB9DA" w:themeFill="accent2" w:themeFillTint="3F"/>
      </w:tcPr>
    </w:tblStylePr>
    <w:tblStylePr w:type="band2Horz">
      <w:tblPr/>
      <w:tcPr>
        <w:tcBorders>
          <w:top w:val="single" w:sz="8" w:space="0" w:color="E5006D" w:themeColor="accent2"/>
          <w:left w:val="single" w:sz="8" w:space="0" w:color="E5006D" w:themeColor="accent2"/>
          <w:bottom w:val="single" w:sz="8" w:space="0" w:color="E5006D" w:themeColor="accent2"/>
          <w:right w:val="single" w:sz="8" w:space="0" w:color="E5006D" w:themeColor="accent2"/>
          <w:insideV w:val="single" w:sz="8" w:space="0" w:color="E5006D" w:themeColor="accent2"/>
        </w:tcBorders>
      </w:tcPr>
    </w:tblStylePr>
  </w:style>
  <w:style w:type="table" w:styleId="LightGrid-Accent3">
    <w:name w:val="Light Grid Accent 3"/>
    <w:basedOn w:val="TableNormal"/>
    <w:uiPriority w:val="62"/>
    <w:semiHidden/>
    <w:unhideWhenUsed/>
    <w:rsid w:val="00DF245D"/>
    <w:pPr>
      <w:spacing w:after="0" w:line="240" w:lineRule="auto"/>
    </w:pPr>
    <w:tblPr>
      <w:tblStyleRowBandSize w:val="1"/>
      <w:tblStyleColBandSize w:val="1"/>
      <w:tblBorders>
        <w:top w:val="single" w:sz="8" w:space="0" w:color="2C2276" w:themeColor="accent3"/>
        <w:left w:val="single" w:sz="8" w:space="0" w:color="2C2276" w:themeColor="accent3"/>
        <w:bottom w:val="single" w:sz="8" w:space="0" w:color="2C2276" w:themeColor="accent3"/>
        <w:right w:val="single" w:sz="8" w:space="0" w:color="2C2276" w:themeColor="accent3"/>
        <w:insideH w:val="single" w:sz="8" w:space="0" w:color="2C2276" w:themeColor="accent3"/>
        <w:insideV w:val="single" w:sz="8" w:space="0" w:color="2C2276"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C2276" w:themeColor="accent3"/>
          <w:left w:val="single" w:sz="8" w:space="0" w:color="2C2276" w:themeColor="accent3"/>
          <w:bottom w:val="single" w:sz="18" w:space="0" w:color="2C2276" w:themeColor="accent3"/>
          <w:right w:val="single" w:sz="8" w:space="0" w:color="2C2276" w:themeColor="accent3"/>
          <w:insideH w:val="nil"/>
          <w:insideV w:val="single" w:sz="8" w:space="0" w:color="2C2276"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C2276" w:themeColor="accent3"/>
          <w:left w:val="single" w:sz="8" w:space="0" w:color="2C2276" w:themeColor="accent3"/>
          <w:bottom w:val="single" w:sz="8" w:space="0" w:color="2C2276" w:themeColor="accent3"/>
          <w:right w:val="single" w:sz="8" w:space="0" w:color="2C2276" w:themeColor="accent3"/>
          <w:insideH w:val="nil"/>
          <w:insideV w:val="single" w:sz="8" w:space="0" w:color="2C2276"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C2276" w:themeColor="accent3"/>
          <w:left w:val="single" w:sz="8" w:space="0" w:color="2C2276" w:themeColor="accent3"/>
          <w:bottom w:val="single" w:sz="8" w:space="0" w:color="2C2276" w:themeColor="accent3"/>
          <w:right w:val="single" w:sz="8" w:space="0" w:color="2C2276" w:themeColor="accent3"/>
        </w:tcBorders>
      </w:tcPr>
    </w:tblStylePr>
    <w:tblStylePr w:type="band1Vert">
      <w:tblPr/>
      <w:tcPr>
        <w:tcBorders>
          <w:top w:val="single" w:sz="8" w:space="0" w:color="2C2276" w:themeColor="accent3"/>
          <w:left w:val="single" w:sz="8" w:space="0" w:color="2C2276" w:themeColor="accent3"/>
          <w:bottom w:val="single" w:sz="8" w:space="0" w:color="2C2276" w:themeColor="accent3"/>
          <w:right w:val="single" w:sz="8" w:space="0" w:color="2C2276" w:themeColor="accent3"/>
        </w:tcBorders>
        <w:shd w:val="clear" w:color="auto" w:fill="BFBAEB" w:themeFill="accent3" w:themeFillTint="3F"/>
      </w:tcPr>
    </w:tblStylePr>
    <w:tblStylePr w:type="band1Horz">
      <w:tblPr/>
      <w:tcPr>
        <w:tcBorders>
          <w:top w:val="single" w:sz="8" w:space="0" w:color="2C2276" w:themeColor="accent3"/>
          <w:left w:val="single" w:sz="8" w:space="0" w:color="2C2276" w:themeColor="accent3"/>
          <w:bottom w:val="single" w:sz="8" w:space="0" w:color="2C2276" w:themeColor="accent3"/>
          <w:right w:val="single" w:sz="8" w:space="0" w:color="2C2276" w:themeColor="accent3"/>
          <w:insideV w:val="single" w:sz="8" w:space="0" w:color="2C2276" w:themeColor="accent3"/>
        </w:tcBorders>
        <w:shd w:val="clear" w:color="auto" w:fill="BFBAEB" w:themeFill="accent3" w:themeFillTint="3F"/>
      </w:tcPr>
    </w:tblStylePr>
    <w:tblStylePr w:type="band2Horz">
      <w:tblPr/>
      <w:tcPr>
        <w:tcBorders>
          <w:top w:val="single" w:sz="8" w:space="0" w:color="2C2276" w:themeColor="accent3"/>
          <w:left w:val="single" w:sz="8" w:space="0" w:color="2C2276" w:themeColor="accent3"/>
          <w:bottom w:val="single" w:sz="8" w:space="0" w:color="2C2276" w:themeColor="accent3"/>
          <w:right w:val="single" w:sz="8" w:space="0" w:color="2C2276" w:themeColor="accent3"/>
          <w:insideV w:val="single" w:sz="8" w:space="0" w:color="2C2276" w:themeColor="accent3"/>
        </w:tcBorders>
      </w:tcPr>
    </w:tblStylePr>
  </w:style>
  <w:style w:type="table" w:styleId="LightGrid-Accent4">
    <w:name w:val="Light Grid Accent 4"/>
    <w:basedOn w:val="TableNormal"/>
    <w:uiPriority w:val="62"/>
    <w:semiHidden/>
    <w:unhideWhenUsed/>
    <w:rsid w:val="00DF245D"/>
    <w:pPr>
      <w:spacing w:after="0" w:line="240" w:lineRule="auto"/>
    </w:pPr>
    <w:tblPr>
      <w:tblStyleRowBandSize w:val="1"/>
      <w:tblStyleColBandSize w:val="1"/>
      <w:tblBorders>
        <w:top w:val="single" w:sz="8" w:space="0" w:color="7B1244" w:themeColor="accent4"/>
        <w:left w:val="single" w:sz="8" w:space="0" w:color="7B1244" w:themeColor="accent4"/>
        <w:bottom w:val="single" w:sz="8" w:space="0" w:color="7B1244" w:themeColor="accent4"/>
        <w:right w:val="single" w:sz="8" w:space="0" w:color="7B1244" w:themeColor="accent4"/>
        <w:insideH w:val="single" w:sz="8" w:space="0" w:color="7B1244" w:themeColor="accent4"/>
        <w:insideV w:val="single" w:sz="8" w:space="0" w:color="7B1244"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B1244" w:themeColor="accent4"/>
          <w:left w:val="single" w:sz="8" w:space="0" w:color="7B1244" w:themeColor="accent4"/>
          <w:bottom w:val="single" w:sz="18" w:space="0" w:color="7B1244" w:themeColor="accent4"/>
          <w:right w:val="single" w:sz="8" w:space="0" w:color="7B1244" w:themeColor="accent4"/>
          <w:insideH w:val="nil"/>
          <w:insideV w:val="single" w:sz="8" w:space="0" w:color="7B1244"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B1244" w:themeColor="accent4"/>
          <w:left w:val="single" w:sz="8" w:space="0" w:color="7B1244" w:themeColor="accent4"/>
          <w:bottom w:val="single" w:sz="8" w:space="0" w:color="7B1244" w:themeColor="accent4"/>
          <w:right w:val="single" w:sz="8" w:space="0" w:color="7B1244" w:themeColor="accent4"/>
          <w:insideH w:val="nil"/>
          <w:insideV w:val="single" w:sz="8" w:space="0" w:color="7B1244"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B1244" w:themeColor="accent4"/>
          <w:left w:val="single" w:sz="8" w:space="0" w:color="7B1244" w:themeColor="accent4"/>
          <w:bottom w:val="single" w:sz="8" w:space="0" w:color="7B1244" w:themeColor="accent4"/>
          <w:right w:val="single" w:sz="8" w:space="0" w:color="7B1244" w:themeColor="accent4"/>
        </w:tcBorders>
      </w:tcPr>
    </w:tblStylePr>
    <w:tblStylePr w:type="band1Vert">
      <w:tblPr/>
      <w:tcPr>
        <w:tcBorders>
          <w:top w:val="single" w:sz="8" w:space="0" w:color="7B1244" w:themeColor="accent4"/>
          <w:left w:val="single" w:sz="8" w:space="0" w:color="7B1244" w:themeColor="accent4"/>
          <w:bottom w:val="single" w:sz="8" w:space="0" w:color="7B1244" w:themeColor="accent4"/>
          <w:right w:val="single" w:sz="8" w:space="0" w:color="7B1244" w:themeColor="accent4"/>
        </w:tcBorders>
        <w:shd w:val="clear" w:color="auto" w:fill="F3AFCF" w:themeFill="accent4" w:themeFillTint="3F"/>
      </w:tcPr>
    </w:tblStylePr>
    <w:tblStylePr w:type="band1Horz">
      <w:tblPr/>
      <w:tcPr>
        <w:tcBorders>
          <w:top w:val="single" w:sz="8" w:space="0" w:color="7B1244" w:themeColor="accent4"/>
          <w:left w:val="single" w:sz="8" w:space="0" w:color="7B1244" w:themeColor="accent4"/>
          <w:bottom w:val="single" w:sz="8" w:space="0" w:color="7B1244" w:themeColor="accent4"/>
          <w:right w:val="single" w:sz="8" w:space="0" w:color="7B1244" w:themeColor="accent4"/>
          <w:insideV w:val="single" w:sz="8" w:space="0" w:color="7B1244" w:themeColor="accent4"/>
        </w:tcBorders>
        <w:shd w:val="clear" w:color="auto" w:fill="F3AFCF" w:themeFill="accent4" w:themeFillTint="3F"/>
      </w:tcPr>
    </w:tblStylePr>
    <w:tblStylePr w:type="band2Horz">
      <w:tblPr/>
      <w:tcPr>
        <w:tcBorders>
          <w:top w:val="single" w:sz="8" w:space="0" w:color="7B1244" w:themeColor="accent4"/>
          <w:left w:val="single" w:sz="8" w:space="0" w:color="7B1244" w:themeColor="accent4"/>
          <w:bottom w:val="single" w:sz="8" w:space="0" w:color="7B1244" w:themeColor="accent4"/>
          <w:right w:val="single" w:sz="8" w:space="0" w:color="7B1244" w:themeColor="accent4"/>
          <w:insideV w:val="single" w:sz="8" w:space="0" w:color="7B1244" w:themeColor="accent4"/>
        </w:tcBorders>
      </w:tcPr>
    </w:tblStylePr>
  </w:style>
  <w:style w:type="table" w:styleId="LightGrid-Accent5">
    <w:name w:val="Light Grid Accent 5"/>
    <w:basedOn w:val="TableNormal"/>
    <w:uiPriority w:val="62"/>
    <w:semiHidden/>
    <w:unhideWhenUsed/>
    <w:rsid w:val="00DF245D"/>
    <w:pPr>
      <w:spacing w:after="0" w:line="240" w:lineRule="auto"/>
    </w:pPr>
    <w:tblPr>
      <w:tblStyleRowBandSize w:val="1"/>
      <w:tblStyleColBandSize w:val="1"/>
      <w:tblBorders>
        <w:top w:val="single" w:sz="8" w:space="0" w:color="AFCA0B" w:themeColor="accent5"/>
        <w:left w:val="single" w:sz="8" w:space="0" w:color="AFCA0B" w:themeColor="accent5"/>
        <w:bottom w:val="single" w:sz="8" w:space="0" w:color="AFCA0B" w:themeColor="accent5"/>
        <w:right w:val="single" w:sz="8" w:space="0" w:color="AFCA0B" w:themeColor="accent5"/>
        <w:insideH w:val="single" w:sz="8" w:space="0" w:color="AFCA0B" w:themeColor="accent5"/>
        <w:insideV w:val="single" w:sz="8" w:space="0" w:color="AFCA0B"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FCA0B" w:themeColor="accent5"/>
          <w:left w:val="single" w:sz="8" w:space="0" w:color="AFCA0B" w:themeColor="accent5"/>
          <w:bottom w:val="single" w:sz="18" w:space="0" w:color="AFCA0B" w:themeColor="accent5"/>
          <w:right w:val="single" w:sz="8" w:space="0" w:color="AFCA0B" w:themeColor="accent5"/>
          <w:insideH w:val="nil"/>
          <w:insideV w:val="single" w:sz="8" w:space="0" w:color="AFCA0B"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FCA0B" w:themeColor="accent5"/>
          <w:left w:val="single" w:sz="8" w:space="0" w:color="AFCA0B" w:themeColor="accent5"/>
          <w:bottom w:val="single" w:sz="8" w:space="0" w:color="AFCA0B" w:themeColor="accent5"/>
          <w:right w:val="single" w:sz="8" w:space="0" w:color="AFCA0B" w:themeColor="accent5"/>
          <w:insideH w:val="nil"/>
          <w:insideV w:val="single" w:sz="8" w:space="0" w:color="AFCA0B"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FCA0B" w:themeColor="accent5"/>
          <w:left w:val="single" w:sz="8" w:space="0" w:color="AFCA0B" w:themeColor="accent5"/>
          <w:bottom w:val="single" w:sz="8" w:space="0" w:color="AFCA0B" w:themeColor="accent5"/>
          <w:right w:val="single" w:sz="8" w:space="0" w:color="AFCA0B" w:themeColor="accent5"/>
        </w:tcBorders>
      </w:tcPr>
    </w:tblStylePr>
    <w:tblStylePr w:type="band1Vert">
      <w:tblPr/>
      <w:tcPr>
        <w:tcBorders>
          <w:top w:val="single" w:sz="8" w:space="0" w:color="AFCA0B" w:themeColor="accent5"/>
          <w:left w:val="single" w:sz="8" w:space="0" w:color="AFCA0B" w:themeColor="accent5"/>
          <w:bottom w:val="single" w:sz="8" w:space="0" w:color="AFCA0B" w:themeColor="accent5"/>
          <w:right w:val="single" w:sz="8" w:space="0" w:color="AFCA0B" w:themeColor="accent5"/>
        </w:tcBorders>
        <w:shd w:val="clear" w:color="auto" w:fill="F1FBB9" w:themeFill="accent5" w:themeFillTint="3F"/>
      </w:tcPr>
    </w:tblStylePr>
    <w:tblStylePr w:type="band1Horz">
      <w:tblPr/>
      <w:tcPr>
        <w:tcBorders>
          <w:top w:val="single" w:sz="8" w:space="0" w:color="AFCA0B" w:themeColor="accent5"/>
          <w:left w:val="single" w:sz="8" w:space="0" w:color="AFCA0B" w:themeColor="accent5"/>
          <w:bottom w:val="single" w:sz="8" w:space="0" w:color="AFCA0B" w:themeColor="accent5"/>
          <w:right w:val="single" w:sz="8" w:space="0" w:color="AFCA0B" w:themeColor="accent5"/>
          <w:insideV w:val="single" w:sz="8" w:space="0" w:color="AFCA0B" w:themeColor="accent5"/>
        </w:tcBorders>
        <w:shd w:val="clear" w:color="auto" w:fill="F1FBB9" w:themeFill="accent5" w:themeFillTint="3F"/>
      </w:tcPr>
    </w:tblStylePr>
    <w:tblStylePr w:type="band2Horz">
      <w:tblPr/>
      <w:tcPr>
        <w:tcBorders>
          <w:top w:val="single" w:sz="8" w:space="0" w:color="AFCA0B" w:themeColor="accent5"/>
          <w:left w:val="single" w:sz="8" w:space="0" w:color="AFCA0B" w:themeColor="accent5"/>
          <w:bottom w:val="single" w:sz="8" w:space="0" w:color="AFCA0B" w:themeColor="accent5"/>
          <w:right w:val="single" w:sz="8" w:space="0" w:color="AFCA0B" w:themeColor="accent5"/>
          <w:insideV w:val="single" w:sz="8" w:space="0" w:color="AFCA0B" w:themeColor="accent5"/>
        </w:tcBorders>
      </w:tcPr>
    </w:tblStylePr>
  </w:style>
  <w:style w:type="table" w:styleId="LightGrid-Accent6">
    <w:name w:val="Light Grid Accent 6"/>
    <w:basedOn w:val="TableNormal"/>
    <w:uiPriority w:val="62"/>
    <w:semiHidden/>
    <w:unhideWhenUsed/>
    <w:rsid w:val="00DF245D"/>
    <w:pPr>
      <w:spacing w:after="0" w:line="240" w:lineRule="auto"/>
    </w:pPr>
    <w:tblPr>
      <w:tblStyleRowBandSize w:val="1"/>
      <w:tblStyleColBandSize w:val="1"/>
      <w:tblBorders>
        <w:top w:val="single" w:sz="8" w:space="0" w:color="3AAA35" w:themeColor="accent6"/>
        <w:left w:val="single" w:sz="8" w:space="0" w:color="3AAA35" w:themeColor="accent6"/>
        <w:bottom w:val="single" w:sz="8" w:space="0" w:color="3AAA35" w:themeColor="accent6"/>
        <w:right w:val="single" w:sz="8" w:space="0" w:color="3AAA35" w:themeColor="accent6"/>
        <w:insideH w:val="single" w:sz="8" w:space="0" w:color="3AAA35" w:themeColor="accent6"/>
        <w:insideV w:val="single" w:sz="8" w:space="0" w:color="3AAA3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3AAA35" w:themeColor="accent6"/>
          <w:left w:val="single" w:sz="8" w:space="0" w:color="3AAA35" w:themeColor="accent6"/>
          <w:bottom w:val="single" w:sz="18" w:space="0" w:color="3AAA35" w:themeColor="accent6"/>
          <w:right w:val="single" w:sz="8" w:space="0" w:color="3AAA35" w:themeColor="accent6"/>
          <w:insideH w:val="nil"/>
          <w:insideV w:val="single" w:sz="8" w:space="0" w:color="3AAA3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3AAA35" w:themeColor="accent6"/>
          <w:left w:val="single" w:sz="8" w:space="0" w:color="3AAA35" w:themeColor="accent6"/>
          <w:bottom w:val="single" w:sz="8" w:space="0" w:color="3AAA35" w:themeColor="accent6"/>
          <w:right w:val="single" w:sz="8" w:space="0" w:color="3AAA35" w:themeColor="accent6"/>
          <w:insideH w:val="nil"/>
          <w:insideV w:val="single" w:sz="8" w:space="0" w:color="3AAA3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3AAA35" w:themeColor="accent6"/>
          <w:left w:val="single" w:sz="8" w:space="0" w:color="3AAA35" w:themeColor="accent6"/>
          <w:bottom w:val="single" w:sz="8" w:space="0" w:color="3AAA35" w:themeColor="accent6"/>
          <w:right w:val="single" w:sz="8" w:space="0" w:color="3AAA35" w:themeColor="accent6"/>
        </w:tcBorders>
      </w:tcPr>
    </w:tblStylePr>
    <w:tblStylePr w:type="band1Vert">
      <w:tblPr/>
      <w:tcPr>
        <w:tcBorders>
          <w:top w:val="single" w:sz="8" w:space="0" w:color="3AAA35" w:themeColor="accent6"/>
          <w:left w:val="single" w:sz="8" w:space="0" w:color="3AAA35" w:themeColor="accent6"/>
          <w:bottom w:val="single" w:sz="8" w:space="0" w:color="3AAA35" w:themeColor="accent6"/>
          <w:right w:val="single" w:sz="8" w:space="0" w:color="3AAA35" w:themeColor="accent6"/>
        </w:tcBorders>
        <w:shd w:val="clear" w:color="auto" w:fill="CAEEC8" w:themeFill="accent6" w:themeFillTint="3F"/>
      </w:tcPr>
    </w:tblStylePr>
    <w:tblStylePr w:type="band1Horz">
      <w:tblPr/>
      <w:tcPr>
        <w:tcBorders>
          <w:top w:val="single" w:sz="8" w:space="0" w:color="3AAA35" w:themeColor="accent6"/>
          <w:left w:val="single" w:sz="8" w:space="0" w:color="3AAA35" w:themeColor="accent6"/>
          <w:bottom w:val="single" w:sz="8" w:space="0" w:color="3AAA35" w:themeColor="accent6"/>
          <w:right w:val="single" w:sz="8" w:space="0" w:color="3AAA35" w:themeColor="accent6"/>
          <w:insideV w:val="single" w:sz="8" w:space="0" w:color="3AAA35" w:themeColor="accent6"/>
        </w:tcBorders>
        <w:shd w:val="clear" w:color="auto" w:fill="CAEEC8" w:themeFill="accent6" w:themeFillTint="3F"/>
      </w:tcPr>
    </w:tblStylePr>
    <w:tblStylePr w:type="band2Horz">
      <w:tblPr/>
      <w:tcPr>
        <w:tcBorders>
          <w:top w:val="single" w:sz="8" w:space="0" w:color="3AAA35" w:themeColor="accent6"/>
          <w:left w:val="single" w:sz="8" w:space="0" w:color="3AAA35" w:themeColor="accent6"/>
          <w:bottom w:val="single" w:sz="8" w:space="0" w:color="3AAA35" w:themeColor="accent6"/>
          <w:right w:val="single" w:sz="8" w:space="0" w:color="3AAA35" w:themeColor="accent6"/>
          <w:insideV w:val="single" w:sz="8" w:space="0" w:color="3AAA35" w:themeColor="accent6"/>
        </w:tcBorders>
      </w:tcPr>
    </w:tblStylePr>
  </w:style>
  <w:style w:type="table" w:styleId="LightList">
    <w:name w:val="Light List"/>
    <w:basedOn w:val="TableNormal"/>
    <w:uiPriority w:val="61"/>
    <w:semiHidden/>
    <w:unhideWhenUsed/>
    <w:rsid w:val="00DF245D"/>
    <w:pPr>
      <w:spacing w:after="0" w:line="240" w:lineRule="auto"/>
    </w:pPr>
    <w:tblPr>
      <w:tblStyleRowBandSize w:val="1"/>
      <w:tblStyleColBandSize w:val="1"/>
      <w:tblBorders>
        <w:top w:val="single" w:sz="8" w:space="0" w:color="30353F" w:themeColor="text1"/>
        <w:left w:val="single" w:sz="8" w:space="0" w:color="30353F" w:themeColor="text1"/>
        <w:bottom w:val="single" w:sz="8" w:space="0" w:color="30353F" w:themeColor="text1"/>
        <w:right w:val="single" w:sz="8" w:space="0" w:color="30353F" w:themeColor="text1"/>
      </w:tblBorders>
    </w:tblPr>
    <w:tblStylePr w:type="firstRow">
      <w:pPr>
        <w:spacing w:before="0" w:after="0" w:line="240" w:lineRule="auto"/>
      </w:pPr>
      <w:rPr>
        <w:b/>
        <w:bCs/>
        <w:color w:val="FFFFFF" w:themeColor="background1"/>
      </w:rPr>
      <w:tblPr/>
      <w:tcPr>
        <w:shd w:val="clear" w:color="auto" w:fill="30353F" w:themeFill="text1"/>
      </w:tcPr>
    </w:tblStylePr>
    <w:tblStylePr w:type="lastRow">
      <w:pPr>
        <w:spacing w:before="0" w:after="0" w:line="240" w:lineRule="auto"/>
      </w:pPr>
      <w:rPr>
        <w:b/>
        <w:bCs/>
      </w:rPr>
      <w:tblPr/>
      <w:tcPr>
        <w:tcBorders>
          <w:top w:val="double" w:sz="6" w:space="0" w:color="30353F" w:themeColor="text1"/>
          <w:left w:val="single" w:sz="8" w:space="0" w:color="30353F" w:themeColor="text1"/>
          <w:bottom w:val="single" w:sz="8" w:space="0" w:color="30353F" w:themeColor="text1"/>
          <w:right w:val="single" w:sz="8" w:space="0" w:color="30353F" w:themeColor="text1"/>
        </w:tcBorders>
      </w:tcPr>
    </w:tblStylePr>
    <w:tblStylePr w:type="firstCol">
      <w:rPr>
        <w:b/>
        <w:bCs/>
      </w:rPr>
    </w:tblStylePr>
    <w:tblStylePr w:type="lastCol">
      <w:rPr>
        <w:b/>
        <w:bCs/>
      </w:rPr>
    </w:tblStylePr>
    <w:tblStylePr w:type="band1Vert">
      <w:tblPr/>
      <w:tcPr>
        <w:tcBorders>
          <w:top w:val="single" w:sz="8" w:space="0" w:color="30353F" w:themeColor="text1"/>
          <w:left w:val="single" w:sz="8" w:space="0" w:color="30353F" w:themeColor="text1"/>
          <w:bottom w:val="single" w:sz="8" w:space="0" w:color="30353F" w:themeColor="text1"/>
          <w:right w:val="single" w:sz="8" w:space="0" w:color="30353F" w:themeColor="text1"/>
        </w:tcBorders>
      </w:tcPr>
    </w:tblStylePr>
    <w:tblStylePr w:type="band1Horz">
      <w:tblPr/>
      <w:tcPr>
        <w:tcBorders>
          <w:top w:val="single" w:sz="8" w:space="0" w:color="30353F" w:themeColor="text1"/>
          <w:left w:val="single" w:sz="8" w:space="0" w:color="30353F" w:themeColor="text1"/>
          <w:bottom w:val="single" w:sz="8" w:space="0" w:color="30353F" w:themeColor="text1"/>
          <w:right w:val="single" w:sz="8" w:space="0" w:color="30353F" w:themeColor="text1"/>
        </w:tcBorders>
      </w:tcPr>
    </w:tblStylePr>
  </w:style>
  <w:style w:type="table" w:styleId="LightList-Accent1">
    <w:name w:val="Light List Accent 1"/>
    <w:basedOn w:val="TableNormal"/>
    <w:uiPriority w:val="61"/>
    <w:semiHidden/>
    <w:unhideWhenUsed/>
    <w:rsid w:val="00DF245D"/>
    <w:pPr>
      <w:spacing w:after="0" w:line="240" w:lineRule="auto"/>
    </w:pPr>
    <w:tblPr>
      <w:tblStyleRowBandSize w:val="1"/>
      <w:tblStyleColBandSize w:val="1"/>
      <w:tblBorders>
        <w:top w:val="single" w:sz="8" w:space="0" w:color="0094C5" w:themeColor="accent1"/>
        <w:left w:val="single" w:sz="8" w:space="0" w:color="0094C5" w:themeColor="accent1"/>
        <w:bottom w:val="single" w:sz="8" w:space="0" w:color="0094C5" w:themeColor="accent1"/>
        <w:right w:val="single" w:sz="8" w:space="0" w:color="0094C5" w:themeColor="accent1"/>
      </w:tblBorders>
    </w:tblPr>
    <w:tblStylePr w:type="firstRow">
      <w:pPr>
        <w:spacing w:before="0" w:after="0" w:line="240" w:lineRule="auto"/>
      </w:pPr>
      <w:rPr>
        <w:b/>
        <w:bCs/>
        <w:color w:val="FFFFFF" w:themeColor="background1"/>
      </w:rPr>
      <w:tblPr/>
      <w:tcPr>
        <w:shd w:val="clear" w:color="auto" w:fill="0094C5" w:themeFill="accent1"/>
      </w:tcPr>
    </w:tblStylePr>
    <w:tblStylePr w:type="lastRow">
      <w:pPr>
        <w:spacing w:before="0" w:after="0" w:line="240" w:lineRule="auto"/>
      </w:pPr>
      <w:rPr>
        <w:b/>
        <w:bCs/>
      </w:rPr>
      <w:tblPr/>
      <w:tcPr>
        <w:tcBorders>
          <w:top w:val="double" w:sz="6" w:space="0" w:color="0094C5" w:themeColor="accent1"/>
          <w:left w:val="single" w:sz="8" w:space="0" w:color="0094C5" w:themeColor="accent1"/>
          <w:bottom w:val="single" w:sz="8" w:space="0" w:color="0094C5" w:themeColor="accent1"/>
          <w:right w:val="single" w:sz="8" w:space="0" w:color="0094C5" w:themeColor="accent1"/>
        </w:tcBorders>
      </w:tcPr>
    </w:tblStylePr>
    <w:tblStylePr w:type="firstCol">
      <w:rPr>
        <w:b/>
        <w:bCs/>
      </w:rPr>
    </w:tblStylePr>
    <w:tblStylePr w:type="lastCol">
      <w:rPr>
        <w:b/>
        <w:bCs/>
      </w:rPr>
    </w:tblStylePr>
    <w:tblStylePr w:type="band1Vert">
      <w:tblPr/>
      <w:tcPr>
        <w:tcBorders>
          <w:top w:val="single" w:sz="8" w:space="0" w:color="0094C5" w:themeColor="accent1"/>
          <w:left w:val="single" w:sz="8" w:space="0" w:color="0094C5" w:themeColor="accent1"/>
          <w:bottom w:val="single" w:sz="8" w:space="0" w:color="0094C5" w:themeColor="accent1"/>
          <w:right w:val="single" w:sz="8" w:space="0" w:color="0094C5" w:themeColor="accent1"/>
        </w:tcBorders>
      </w:tcPr>
    </w:tblStylePr>
    <w:tblStylePr w:type="band1Horz">
      <w:tblPr/>
      <w:tcPr>
        <w:tcBorders>
          <w:top w:val="single" w:sz="8" w:space="0" w:color="0094C5" w:themeColor="accent1"/>
          <w:left w:val="single" w:sz="8" w:space="0" w:color="0094C5" w:themeColor="accent1"/>
          <w:bottom w:val="single" w:sz="8" w:space="0" w:color="0094C5" w:themeColor="accent1"/>
          <w:right w:val="single" w:sz="8" w:space="0" w:color="0094C5" w:themeColor="accent1"/>
        </w:tcBorders>
      </w:tcPr>
    </w:tblStylePr>
  </w:style>
  <w:style w:type="table" w:styleId="LightList-Accent2">
    <w:name w:val="Light List Accent 2"/>
    <w:basedOn w:val="TableNormal"/>
    <w:uiPriority w:val="61"/>
    <w:semiHidden/>
    <w:unhideWhenUsed/>
    <w:rsid w:val="00DF245D"/>
    <w:pPr>
      <w:spacing w:after="0" w:line="240" w:lineRule="auto"/>
    </w:pPr>
    <w:tblPr>
      <w:tblStyleRowBandSize w:val="1"/>
      <w:tblStyleColBandSize w:val="1"/>
      <w:tblBorders>
        <w:top w:val="single" w:sz="8" w:space="0" w:color="E5006D" w:themeColor="accent2"/>
        <w:left w:val="single" w:sz="8" w:space="0" w:color="E5006D" w:themeColor="accent2"/>
        <w:bottom w:val="single" w:sz="8" w:space="0" w:color="E5006D" w:themeColor="accent2"/>
        <w:right w:val="single" w:sz="8" w:space="0" w:color="E5006D" w:themeColor="accent2"/>
      </w:tblBorders>
    </w:tblPr>
    <w:tblStylePr w:type="firstRow">
      <w:pPr>
        <w:spacing w:before="0" w:after="0" w:line="240" w:lineRule="auto"/>
      </w:pPr>
      <w:rPr>
        <w:b/>
        <w:bCs/>
        <w:color w:val="FFFFFF" w:themeColor="background1"/>
      </w:rPr>
      <w:tblPr/>
      <w:tcPr>
        <w:shd w:val="clear" w:color="auto" w:fill="E5006D" w:themeFill="accent2"/>
      </w:tcPr>
    </w:tblStylePr>
    <w:tblStylePr w:type="lastRow">
      <w:pPr>
        <w:spacing w:before="0" w:after="0" w:line="240" w:lineRule="auto"/>
      </w:pPr>
      <w:rPr>
        <w:b/>
        <w:bCs/>
      </w:rPr>
      <w:tblPr/>
      <w:tcPr>
        <w:tcBorders>
          <w:top w:val="double" w:sz="6" w:space="0" w:color="E5006D" w:themeColor="accent2"/>
          <w:left w:val="single" w:sz="8" w:space="0" w:color="E5006D" w:themeColor="accent2"/>
          <w:bottom w:val="single" w:sz="8" w:space="0" w:color="E5006D" w:themeColor="accent2"/>
          <w:right w:val="single" w:sz="8" w:space="0" w:color="E5006D" w:themeColor="accent2"/>
        </w:tcBorders>
      </w:tcPr>
    </w:tblStylePr>
    <w:tblStylePr w:type="firstCol">
      <w:rPr>
        <w:b/>
        <w:bCs/>
      </w:rPr>
    </w:tblStylePr>
    <w:tblStylePr w:type="lastCol">
      <w:rPr>
        <w:b/>
        <w:bCs/>
      </w:rPr>
    </w:tblStylePr>
    <w:tblStylePr w:type="band1Vert">
      <w:tblPr/>
      <w:tcPr>
        <w:tcBorders>
          <w:top w:val="single" w:sz="8" w:space="0" w:color="E5006D" w:themeColor="accent2"/>
          <w:left w:val="single" w:sz="8" w:space="0" w:color="E5006D" w:themeColor="accent2"/>
          <w:bottom w:val="single" w:sz="8" w:space="0" w:color="E5006D" w:themeColor="accent2"/>
          <w:right w:val="single" w:sz="8" w:space="0" w:color="E5006D" w:themeColor="accent2"/>
        </w:tcBorders>
      </w:tcPr>
    </w:tblStylePr>
    <w:tblStylePr w:type="band1Horz">
      <w:tblPr/>
      <w:tcPr>
        <w:tcBorders>
          <w:top w:val="single" w:sz="8" w:space="0" w:color="E5006D" w:themeColor="accent2"/>
          <w:left w:val="single" w:sz="8" w:space="0" w:color="E5006D" w:themeColor="accent2"/>
          <w:bottom w:val="single" w:sz="8" w:space="0" w:color="E5006D" w:themeColor="accent2"/>
          <w:right w:val="single" w:sz="8" w:space="0" w:color="E5006D" w:themeColor="accent2"/>
        </w:tcBorders>
      </w:tcPr>
    </w:tblStylePr>
  </w:style>
  <w:style w:type="table" w:styleId="LightList-Accent3">
    <w:name w:val="Light List Accent 3"/>
    <w:basedOn w:val="TableNormal"/>
    <w:uiPriority w:val="61"/>
    <w:semiHidden/>
    <w:unhideWhenUsed/>
    <w:rsid w:val="00DF245D"/>
    <w:pPr>
      <w:spacing w:after="0" w:line="240" w:lineRule="auto"/>
    </w:pPr>
    <w:tblPr>
      <w:tblStyleRowBandSize w:val="1"/>
      <w:tblStyleColBandSize w:val="1"/>
      <w:tblBorders>
        <w:top w:val="single" w:sz="8" w:space="0" w:color="2C2276" w:themeColor="accent3"/>
        <w:left w:val="single" w:sz="8" w:space="0" w:color="2C2276" w:themeColor="accent3"/>
        <w:bottom w:val="single" w:sz="8" w:space="0" w:color="2C2276" w:themeColor="accent3"/>
        <w:right w:val="single" w:sz="8" w:space="0" w:color="2C2276" w:themeColor="accent3"/>
      </w:tblBorders>
    </w:tblPr>
    <w:tblStylePr w:type="firstRow">
      <w:pPr>
        <w:spacing w:before="0" w:after="0" w:line="240" w:lineRule="auto"/>
      </w:pPr>
      <w:rPr>
        <w:b/>
        <w:bCs/>
        <w:color w:val="FFFFFF" w:themeColor="background1"/>
      </w:rPr>
      <w:tblPr/>
      <w:tcPr>
        <w:shd w:val="clear" w:color="auto" w:fill="2C2276" w:themeFill="accent3"/>
      </w:tcPr>
    </w:tblStylePr>
    <w:tblStylePr w:type="lastRow">
      <w:pPr>
        <w:spacing w:before="0" w:after="0" w:line="240" w:lineRule="auto"/>
      </w:pPr>
      <w:rPr>
        <w:b/>
        <w:bCs/>
      </w:rPr>
      <w:tblPr/>
      <w:tcPr>
        <w:tcBorders>
          <w:top w:val="double" w:sz="6" w:space="0" w:color="2C2276" w:themeColor="accent3"/>
          <w:left w:val="single" w:sz="8" w:space="0" w:color="2C2276" w:themeColor="accent3"/>
          <w:bottom w:val="single" w:sz="8" w:space="0" w:color="2C2276" w:themeColor="accent3"/>
          <w:right w:val="single" w:sz="8" w:space="0" w:color="2C2276" w:themeColor="accent3"/>
        </w:tcBorders>
      </w:tcPr>
    </w:tblStylePr>
    <w:tblStylePr w:type="firstCol">
      <w:rPr>
        <w:b/>
        <w:bCs/>
      </w:rPr>
    </w:tblStylePr>
    <w:tblStylePr w:type="lastCol">
      <w:rPr>
        <w:b/>
        <w:bCs/>
      </w:rPr>
    </w:tblStylePr>
    <w:tblStylePr w:type="band1Vert">
      <w:tblPr/>
      <w:tcPr>
        <w:tcBorders>
          <w:top w:val="single" w:sz="8" w:space="0" w:color="2C2276" w:themeColor="accent3"/>
          <w:left w:val="single" w:sz="8" w:space="0" w:color="2C2276" w:themeColor="accent3"/>
          <w:bottom w:val="single" w:sz="8" w:space="0" w:color="2C2276" w:themeColor="accent3"/>
          <w:right w:val="single" w:sz="8" w:space="0" w:color="2C2276" w:themeColor="accent3"/>
        </w:tcBorders>
      </w:tcPr>
    </w:tblStylePr>
    <w:tblStylePr w:type="band1Horz">
      <w:tblPr/>
      <w:tcPr>
        <w:tcBorders>
          <w:top w:val="single" w:sz="8" w:space="0" w:color="2C2276" w:themeColor="accent3"/>
          <w:left w:val="single" w:sz="8" w:space="0" w:color="2C2276" w:themeColor="accent3"/>
          <w:bottom w:val="single" w:sz="8" w:space="0" w:color="2C2276" w:themeColor="accent3"/>
          <w:right w:val="single" w:sz="8" w:space="0" w:color="2C2276" w:themeColor="accent3"/>
        </w:tcBorders>
      </w:tcPr>
    </w:tblStylePr>
  </w:style>
  <w:style w:type="table" w:styleId="LightList-Accent4">
    <w:name w:val="Light List Accent 4"/>
    <w:basedOn w:val="TableNormal"/>
    <w:uiPriority w:val="61"/>
    <w:semiHidden/>
    <w:unhideWhenUsed/>
    <w:rsid w:val="00DF245D"/>
    <w:pPr>
      <w:spacing w:after="0" w:line="240" w:lineRule="auto"/>
    </w:pPr>
    <w:tblPr>
      <w:tblStyleRowBandSize w:val="1"/>
      <w:tblStyleColBandSize w:val="1"/>
      <w:tblBorders>
        <w:top w:val="single" w:sz="8" w:space="0" w:color="7B1244" w:themeColor="accent4"/>
        <w:left w:val="single" w:sz="8" w:space="0" w:color="7B1244" w:themeColor="accent4"/>
        <w:bottom w:val="single" w:sz="8" w:space="0" w:color="7B1244" w:themeColor="accent4"/>
        <w:right w:val="single" w:sz="8" w:space="0" w:color="7B1244" w:themeColor="accent4"/>
      </w:tblBorders>
    </w:tblPr>
    <w:tblStylePr w:type="firstRow">
      <w:pPr>
        <w:spacing w:before="0" w:after="0" w:line="240" w:lineRule="auto"/>
      </w:pPr>
      <w:rPr>
        <w:b/>
        <w:bCs/>
        <w:color w:val="FFFFFF" w:themeColor="background1"/>
      </w:rPr>
      <w:tblPr/>
      <w:tcPr>
        <w:shd w:val="clear" w:color="auto" w:fill="7B1244" w:themeFill="accent4"/>
      </w:tcPr>
    </w:tblStylePr>
    <w:tblStylePr w:type="lastRow">
      <w:pPr>
        <w:spacing w:before="0" w:after="0" w:line="240" w:lineRule="auto"/>
      </w:pPr>
      <w:rPr>
        <w:b/>
        <w:bCs/>
      </w:rPr>
      <w:tblPr/>
      <w:tcPr>
        <w:tcBorders>
          <w:top w:val="double" w:sz="6" w:space="0" w:color="7B1244" w:themeColor="accent4"/>
          <w:left w:val="single" w:sz="8" w:space="0" w:color="7B1244" w:themeColor="accent4"/>
          <w:bottom w:val="single" w:sz="8" w:space="0" w:color="7B1244" w:themeColor="accent4"/>
          <w:right w:val="single" w:sz="8" w:space="0" w:color="7B1244" w:themeColor="accent4"/>
        </w:tcBorders>
      </w:tcPr>
    </w:tblStylePr>
    <w:tblStylePr w:type="firstCol">
      <w:rPr>
        <w:b/>
        <w:bCs/>
      </w:rPr>
    </w:tblStylePr>
    <w:tblStylePr w:type="lastCol">
      <w:rPr>
        <w:b/>
        <w:bCs/>
      </w:rPr>
    </w:tblStylePr>
    <w:tblStylePr w:type="band1Vert">
      <w:tblPr/>
      <w:tcPr>
        <w:tcBorders>
          <w:top w:val="single" w:sz="8" w:space="0" w:color="7B1244" w:themeColor="accent4"/>
          <w:left w:val="single" w:sz="8" w:space="0" w:color="7B1244" w:themeColor="accent4"/>
          <w:bottom w:val="single" w:sz="8" w:space="0" w:color="7B1244" w:themeColor="accent4"/>
          <w:right w:val="single" w:sz="8" w:space="0" w:color="7B1244" w:themeColor="accent4"/>
        </w:tcBorders>
      </w:tcPr>
    </w:tblStylePr>
    <w:tblStylePr w:type="band1Horz">
      <w:tblPr/>
      <w:tcPr>
        <w:tcBorders>
          <w:top w:val="single" w:sz="8" w:space="0" w:color="7B1244" w:themeColor="accent4"/>
          <w:left w:val="single" w:sz="8" w:space="0" w:color="7B1244" w:themeColor="accent4"/>
          <w:bottom w:val="single" w:sz="8" w:space="0" w:color="7B1244" w:themeColor="accent4"/>
          <w:right w:val="single" w:sz="8" w:space="0" w:color="7B1244" w:themeColor="accent4"/>
        </w:tcBorders>
      </w:tcPr>
    </w:tblStylePr>
  </w:style>
  <w:style w:type="table" w:styleId="LightList-Accent5">
    <w:name w:val="Light List Accent 5"/>
    <w:basedOn w:val="TableNormal"/>
    <w:uiPriority w:val="61"/>
    <w:semiHidden/>
    <w:unhideWhenUsed/>
    <w:rsid w:val="00DF245D"/>
    <w:pPr>
      <w:spacing w:after="0" w:line="240" w:lineRule="auto"/>
    </w:pPr>
    <w:tblPr>
      <w:tblStyleRowBandSize w:val="1"/>
      <w:tblStyleColBandSize w:val="1"/>
      <w:tblBorders>
        <w:top w:val="single" w:sz="8" w:space="0" w:color="AFCA0B" w:themeColor="accent5"/>
        <w:left w:val="single" w:sz="8" w:space="0" w:color="AFCA0B" w:themeColor="accent5"/>
        <w:bottom w:val="single" w:sz="8" w:space="0" w:color="AFCA0B" w:themeColor="accent5"/>
        <w:right w:val="single" w:sz="8" w:space="0" w:color="AFCA0B" w:themeColor="accent5"/>
      </w:tblBorders>
    </w:tblPr>
    <w:tblStylePr w:type="firstRow">
      <w:pPr>
        <w:spacing w:before="0" w:after="0" w:line="240" w:lineRule="auto"/>
      </w:pPr>
      <w:rPr>
        <w:b/>
        <w:bCs/>
        <w:color w:val="FFFFFF" w:themeColor="background1"/>
      </w:rPr>
      <w:tblPr/>
      <w:tcPr>
        <w:shd w:val="clear" w:color="auto" w:fill="AFCA0B" w:themeFill="accent5"/>
      </w:tcPr>
    </w:tblStylePr>
    <w:tblStylePr w:type="lastRow">
      <w:pPr>
        <w:spacing w:before="0" w:after="0" w:line="240" w:lineRule="auto"/>
      </w:pPr>
      <w:rPr>
        <w:b/>
        <w:bCs/>
      </w:rPr>
      <w:tblPr/>
      <w:tcPr>
        <w:tcBorders>
          <w:top w:val="double" w:sz="6" w:space="0" w:color="AFCA0B" w:themeColor="accent5"/>
          <w:left w:val="single" w:sz="8" w:space="0" w:color="AFCA0B" w:themeColor="accent5"/>
          <w:bottom w:val="single" w:sz="8" w:space="0" w:color="AFCA0B" w:themeColor="accent5"/>
          <w:right w:val="single" w:sz="8" w:space="0" w:color="AFCA0B" w:themeColor="accent5"/>
        </w:tcBorders>
      </w:tcPr>
    </w:tblStylePr>
    <w:tblStylePr w:type="firstCol">
      <w:rPr>
        <w:b/>
        <w:bCs/>
      </w:rPr>
    </w:tblStylePr>
    <w:tblStylePr w:type="lastCol">
      <w:rPr>
        <w:b/>
        <w:bCs/>
      </w:rPr>
    </w:tblStylePr>
    <w:tblStylePr w:type="band1Vert">
      <w:tblPr/>
      <w:tcPr>
        <w:tcBorders>
          <w:top w:val="single" w:sz="8" w:space="0" w:color="AFCA0B" w:themeColor="accent5"/>
          <w:left w:val="single" w:sz="8" w:space="0" w:color="AFCA0B" w:themeColor="accent5"/>
          <w:bottom w:val="single" w:sz="8" w:space="0" w:color="AFCA0B" w:themeColor="accent5"/>
          <w:right w:val="single" w:sz="8" w:space="0" w:color="AFCA0B" w:themeColor="accent5"/>
        </w:tcBorders>
      </w:tcPr>
    </w:tblStylePr>
    <w:tblStylePr w:type="band1Horz">
      <w:tblPr/>
      <w:tcPr>
        <w:tcBorders>
          <w:top w:val="single" w:sz="8" w:space="0" w:color="AFCA0B" w:themeColor="accent5"/>
          <w:left w:val="single" w:sz="8" w:space="0" w:color="AFCA0B" w:themeColor="accent5"/>
          <w:bottom w:val="single" w:sz="8" w:space="0" w:color="AFCA0B" w:themeColor="accent5"/>
          <w:right w:val="single" w:sz="8" w:space="0" w:color="AFCA0B" w:themeColor="accent5"/>
        </w:tcBorders>
      </w:tcPr>
    </w:tblStylePr>
  </w:style>
  <w:style w:type="table" w:styleId="LightList-Accent6">
    <w:name w:val="Light List Accent 6"/>
    <w:basedOn w:val="TableNormal"/>
    <w:uiPriority w:val="61"/>
    <w:semiHidden/>
    <w:unhideWhenUsed/>
    <w:rsid w:val="00DF245D"/>
    <w:pPr>
      <w:spacing w:after="0" w:line="240" w:lineRule="auto"/>
    </w:pPr>
    <w:tblPr>
      <w:tblStyleRowBandSize w:val="1"/>
      <w:tblStyleColBandSize w:val="1"/>
      <w:tblBorders>
        <w:top w:val="single" w:sz="8" w:space="0" w:color="3AAA35" w:themeColor="accent6"/>
        <w:left w:val="single" w:sz="8" w:space="0" w:color="3AAA35" w:themeColor="accent6"/>
        <w:bottom w:val="single" w:sz="8" w:space="0" w:color="3AAA35" w:themeColor="accent6"/>
        <w:right w:val="single" w:sz="8" w:space="0" w:color="3AAA35" w:themeColor="accent6"/>
      </w:tblBorders>
    </w:tblPr>
    <w:tblStylePr w:type="firstRow">
      <w:pPr>
        <w:spacing w:before="0" w:after="0" w:line="240" w:lineRule="auto"/>
      </w:pPr>
      <w:rPr>
        <w:b/>
        <w:bCs/>
        <w:color w:val="FFFFFF" w:themeColor="background1"/>
      </w:rPr>
      <w:tblPr/>
      <w:tcPr>
        <w:shd w:val="clear" w:color="auto" w:fill="3AAA35" w:themeFill="accent6"/>
      </w:tcPr>
    </w:tblStylePr>
    <w:tblStylePr w:type="lastRow">
      <w:pPr>
        <w:spacing w:before="0" w:after="0" w:line="240" w:lineRule="auto"/>
      </w:pPr>
      <w:rPr>
        <w:b/>
        <w:bCs/>
      </w:rPr>
      <w:tblPr/>
      <w:tcPr>
        <w:tcBorders>
          <w:top w:val="double" w:sz="6" w:space="0" w:color="3AAA35" w:themeColor="accent6"/>
          <w:left w:val="single" w:sz="8" w:space="0" w:color="3AAA35" w:themeColor="accent6"/>
          <w:bottom w:val="single" w:sz="8" w:space="0" w:color="3AAA35" w:themeColor="accent6"/>
          <w:right w:val="single" w:sz="8" w:space="0" w:color="3AAA35" w:themeColor="accent6"/>
        </w:tcBorders>
      </w:tcPr>
    </w:tblStylePr>
    <w:tblStylePr w:type="firstCol">
      <w:rPr>
        <w:b/>
        <w:bCs/>
      </w:rPr>
    </w:tblStylePr>
    <w:tblStylePr w:type="lastCol">
      <w:rPr>
        <w:b/>
        <w:bCs/>
      </w:rPr>
    </w:tblStylePr>
    <w:tblStylePr w:type="band1Vert">
      <w:tblPr/>
      <w:tcPr>
        <w:tcBorders>
          <w:top w:val="single" w:sz="8" w:space="0" w:color="3AAA35" w:themeColor="accent6"/>
          <w:left w:val="single" w:sz="8" w:space="0" w:color="3AAA35" w:themeColor="accent6"/>
          <w:bottom w:val="single" w:sz="8" w:space="0" w:color="3AAA35" w:themeColor="accent6"/>
          <w:right w:val="single" w:sz="8" w:space="0" w:color="3AAA35" w:themeColor="accent6"/>
        </w:tcBorders>
      </w:tcPr>
    </w:tblStylePr>
    <w:tblStylePr w:type="band1Horz">
      <w:tblPr/>
      <w:tcPr>
        <w:tcBorders>
          <w:top w:val="single" w:sz="8" w:space="0" w:color="3AAA35" w:themeColor="accent6"/>
          <w:left w:val="single" w:sz="8" w:space="0" w:color="3AAA35" w:themeColor="accent6"/>
          <w:bottom w:val="single" w:sz="8" w:space="0" w:color="3AAA35" w:themeColor="accent6"/>
          <w:right w:val="single" w:sz="8" w:space="0" w:color="3AAA35" w:themeColor="accent6"/>
        </w:tcBorders>
      </w:tcPr>
    </w:tblStylePr>
  </w:style>
  <w:style w:type="table" w:styleId="LightShading">
    <w:name w:val="Light Shading"/>
    <w:basedOn w:val="TableNormal"/>
    <w:uiPriority w:val="60"/>
    <w:semiHidden/>
    <w:unhideWhenUsed/>
    <w:rsid w:val="00DF245D"/>
    <w:pPr>
      <w:spacing w:after="0" w:line="240" w:lineRule="auto"/>
    </w:pPr>
    <w:rPr>
      <w:color w:val="24272F" w:themeColor="text1" w:themeShade="BF"/>
    </w:rPr>
    <w:tblPr>
      <w:tblStyleRowBandSize w:val="1"/>
      <w:tblStyleColBandSize w:val="1"/>
      <w:tblBorders>
        <w:top w:val="single" w:sz="8" w:space="0" w:color="30353F" w:themeColor="text1"/>
        <w:bottom w:val="single" w:sz="8" w:space="0" w:color="30353F" w:themeColor="text1"/>
      </w:tblBorders>
    </w:tblPr>
    <w:tblStylePr w:type="firstRow">
      <w:pPr>
        <w:spacing w:before="0" w:after="0" w:line="240" w:lineRule="auto"/>
      </w:pPr>
      <w:rPr>
        <w:b/>
        <w:bCs/>
      </w:rPr>
      <w:tblPr/>
      <w:tcPr>
        <w:tcBorders>
          <w:top w:val="single" w:sz="8" w:space="0" w:color="30353F" w:themeColor="text1"/>
          <w:left w:val="nil"/>
          <w:bottom w:val="single" w:sz="8" w:space="0" w:color="30353F" w:themeColor="text1"/>
          <w:right w:val="nil"/>
          <w:insideH w:val="nil"/>
          <w:insideV w:val="nil"/>
        </w:tcBorders>
      </w:tcPr>
    </w:tblStylePr>
    <w:tblStylePr w:type="lastRow">
      <w:pPr>
        <w:spacing w:before="0" w:after="0" w:line="240" w:lineRule="auto"/>
      </w:pPr>
      <w:rPr>
        <w:b/>
        <w:bCs/>
      </w:rPr>
      <w:tblPr/>
      <w:tcPr>
        <w:tcBorders>
          <w:top w:val="single" w:sz="8" w:space="0" w:color="30353F" w:themeColor="text1"/>
          <w:left w:val="nil"/>
          <w:bottom w:val="single" w:sz="8" w:space="0" w:color="30353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7CBD4" w:themeFill="text1" w:themeFillTint="3F"/>
      </w:tcPr>
    </w:tblStylePr>
    <w:tblStylePr w:type="band1Horz">
      <w:tblPr/>
      <w:tcPr>
        <w:tcBorders>
          <w:left w:val="nil"/>
          <w:right w:val="nil"/>
          <w:insideH w:val="nil"/>
          <w:insideV w:val="nil"/>
        </w:tcBorders>
        <w:shd w:val="clear" w:color="auto" w:fill="C7CBD4" w:themeFill="text1" w:themeFillTint="3F"/>
      </w:tcPr>
    </w:tblStylePr>
  </w:style>
  <w:style w:type="table" w:styleId="LightShading-Accent1">
    <w:name w:val="Light Shading Accent 1"/>
    <w:basedOn w:val="TableNormal"/>
    <w:uiPriority w:val="60"/>
    <w:semiHidden/>
    <w:unhideWhenUsed/>
    <w:rsid w:val="00DF245D"/>
    <w:pPr>
      <w:spacing w:after="0" w:line="240" w:lineRule="auto"/>
    </w:pPr>
    <w:rPr>
      <w:color w:val="006E93" w:themeColor="accent1" w:themeShade="BF"/>
    </w:rPr>
    <w:tblPr>
      <w:tblStyleRowBandSize w:val="1"/>
      <w:tblStyleColBandSize w:val="1"/>
      <w:tblBorders>
        <w:top w:val="single" w:sz="8" w:space="0" w:color="0094C5" w:themeColor="accent1"/>
        <w:bottom w:val="single" w:sz="8" w:space="0" w:color="0094C5" w:themeColor="accent1"/>
      </w:tblBorders>
    </w:tblPr>
    <w:tblStylePr w:type="firstRow">
      <w:pPr>
        <w:spacing w:before="0" w:after="0" w:line="240" w:lineRule="auto"/>
      </w:pPr>
      <w:rPr>
        <w:b/>
        <w:bCs/>
      </w:rPr>
      <w:tblPr/>
      <w:tcPr>
        <w:tcBorders>
          <w:top w:val="single" w:sz="8" w:space="0" w:color="0094C5" w:themeColor="accent1"/>
          <w:left w:val="nil"/>
          <w:bottom w:val="single" w:sz="8" w:space="0" w:color="0094C5" w:themeColor="accent1"/>
          <w:right w:val="nil"/>
          <w:insideH w:val="nil"/>
          <w:insideV w:val="nil"/>
        </w:tcBorders>
      </w:tcPr>
    </w:tblStylePr>
    <w:tblStylePr w:type="lastRow">
      <w:pPr>
        <w:spacing w:before="0" w:after="0" w:line="240" w:lineRule="auto"/>
      </w:pPr>
      <w:rPr>
        <w:b/>
        <w:bCs/>
      </w:rPr>
      <w:tblPr/>
      <w:tcPr>
        <w:tcBorders>
          <w:top w:val="single" w:sz="8" w:space="0" w:color="0094C5" w:themeColor="accent1"/>
          <w:left w:val="nil"/>
          <w:bottom w:val="single" w:sz="8" w:space="0" w:color="0094C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1EBFF" w:themeFill="accent1" w:themeFillTint="3F"/>
      </w:tcPr>
    </w:tblStylePr>
    <w:tblStylePr w:type="band1Horz">
      <w:tblPr/>
      <w:tcPr>
        <w:tcBorders>
          <w:left w:val="nil"/>
          <w:right w:val="nil"/>
          <w:insideH w:val="nil"/>
          <w:insideV w:val="nil"/>
        </w:tcBorders>
        <w:shd w:val="clear" w:color="auto" w:fill="B1EBFF" w:themeFill="accent1" w:themeFillTint="3F"/>
      </w:tcPr>
    </w:tblStylePr>
  </w:style>
  <w:style w:type="table" w:styleId="LightShading-Accent2">
    <w:name w:val="Light Shading Accent 2"/>
    <w:basedOn w:val="TableNormal"/>
    <w:uiPriority w:val="60"/>
    <w:semiHidden/>
    <w:unhideWhenUsed/>
    <w:rsid w:val="00DF245D"/>
    <w:pPr>
      <w:spacing w:after="0" w:line="240" w:lineRule="auto"/>
    </w:pPr>
    <w:rPr>
      <w:color w:val="AB0051" w:themeColor="accent2" w:themeShade="BF"/>
    </w:rPr>
    <w:tblPr>
      <w:tblStyleRowBandSize w:val="1"/>
      <w:tblStyleColBandSize w:val="1"/>
      <w:tblBorders>
        <w:top w:val="single" w:sz="8" w:space="0" w:color="E5006D" w:themeColor="accent2"/>
        <w:bottom w:val="single" w:sz="8" w:space="0" w:color="E5006D" w:themeColor="accent2"/>
      </w:tblBorders>
    </w:tblPr>
    <w:tblStylePr w:type="firstRow">
      <w:pPr>
        <w:spacing w:before="0" w:after="0" w:line="240" w:lineRule="auto"/>
      </w:pPr>
      <w:rPr>
        <w:b/>
        <w:bCs/>
      </w:rPr>
      <w:tblPr/>
      <w:tcPr>
        <w:tcBorders>
          <w:top w:val="single" w:sz="8" w:space="0" w:color="E5006D" w:themeColor="accent2"/>
          <w:left w:val="nil"/>
          <w:bottom w:val="single" w:sz="8" w:space="0" w:color="E5006D" w:themeColor="accent2"/>
          <w:right w:val="nil"/>
          <w:insideH w:val="nil"/>
          <w:insideV w:val="nil"/>
        </w:tcBorders>
      </w:tcPr>
    </w:tblStylePr>
    <w:tblStylePr w:type="lastRow">
      <w:pPr>
        <w:spacing w:before="0" w:after="0" w:line="240" w:lineRule="auto"/>
      </w:pPr>
      <w:rPr>
        <w:b/>
        <w:bCs/>
      </w:rPr>
      <w:tblPr/>
      <w:tcPr>
        <w:tcBorders>
          <w:top w:val="single" w:sz="8" w:space="0" w:color="E5006D" w:themeColor="accent2"/>
          <w:left w:val="nil"/>
          <w:bottom w:val="single" w:sz="8" w:space="0" w:color="E5006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B9DA" w:themeFill="accent2" w:themeFillTint="3F"/>
      </w:tcPr>
    </w:tblStylePr>
    <w:tblStylePr w:type="band1Horz">
      <w:tblPr/>
      <w:tcPr>
        <w:tcBorders>
          <w:left w:val="nil"/>
          <w:right w:val="nil"/>
          <w:insideH w:val="nil"/>
          <w:insideV w:val="nil"/>
        </w:tcBorders>
        <w:shd w:val="clear" w:color="auto" w:fill="FFB9DA" w:themeFill="accent2" w:themeFillTint="3F"/>
      </w:tcPr>
    </w:tblStylePr>
  </w:style>
  <w:style w:type="table" w:styleId="LightShading-Accent3">
    <w:name w:val="Light Shading Accent 3"/>
    <w:basedOn w:val="TableNormal"/>
    <w:uiPriority w:val="60"/>
    <w:semiHidden/>
    <w:unhideWhenUsed/>
    <w:rsid w:val="00DF245D"/>
    <w:pPr>
      <w:spacing w:after="0" w:line="240" w:lineRule="auto"/>
    </w:pPr>
    <w:rPr>
      <w:color w:val="201958" w:themeColor="accent3" w:themeShade="BF"/>
    </w:rPr>
    <w:tblPr>
      <w:tblStyleRowBandSize w:val="1"/>
      <w:tblStyleColBandSize w:val="1"/>
      <w:tblBorders>
        <w:top w:val="single" w:sz="8" w:space="0" w:color="2C2276" w:themeColor="accent3"/>
        <w:bottom w:val="single" w:sz="8" w:space="0" w:color="2C2276" w:themeColor="accent3"/>
      </w:tblBorders>
    </w:tblPr>
    <w:tblStylePr w:type="firstRow">
      <w:pPr>
        <w:spacing w:before="0" w:after="0" w:line="240" w:lineRule="auto"/>
      </w:pPr>
      <w:rPr>
        <w:b/>
        <w:bCs/>
      </w:rPr>
      <w:tblPr/>
      <w:tcPr>
        <w:tcBorders>
          <w:top w:val="single" w:sz="8" w:space="0" w:color="2C2276" w:themeColor="accent3"/>
          <w:left w:val="nil"/>
          <w:bottom w:val="single" w:sz="8" w:space="0" w:color="2C2276" w:themeColor="accent3"/>
          <w:right w:val="nil"/>
          <w:insideH w:val="nil"/>
          <w:insideV w:val="nil"/>
        </w:tcBorders>
      </w:tcPr>
    </w:tblStylePr>
    <w:tblStylePr w:type="lastRow">
      <w:pPr>
        <w:spacing w:before="0" w:after="0" w:line="240" w:lineRule="auto"/>
      </w:pPr>
      <w:rPr>
        <w:b/>
        <w:bCs/>
      </w:rPr>
      <w:tblPr/>
      <w:tcPr>
        <w:tcBorders>
          <w:top w:val="single" w:sz="8" w:space="0" w:color="2C2276" w:themeColor="accent3"/>
          <w:left w:val="nil"/>
          <w:bottom w:val="single" w:sz="8" w:space="0" w:color="2C2276"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FBAEB" w:themeFill="accent3" w:themeFillTint="3F"/>
      </w:tcPr>
    </w:tblStylePr>
    <w:tblStylePr w:type="band1Horz">
      <w:tblPr/>
      <w:tcPr>
        <w:tcBorders>
          <w:left w:val="nil"/>
          <w:right w:val="nil"/>
          <w:insideH w:val="nil"/>
          <w:insideV w:val="nil"/>
        </w:tcBorders>
        <w:shd w:val="clear" w:color="auto" w:fill="BFBAEB" w:themeFill="accent3" w:themeFillTint="3F"/>
      </w:tcPr>
    </w:tblStylePr>
  </w:style>
  <w:style w:type="table" w:styleId="LightShading-Accent4">
    <w:name w:val="Light Shading Accent 4"/>
    <w:basedOn w:val="TableNormal"/>
    <w:uiPriority w:val="60"/>
    <w:semiHidden/>
    <w:unhideWhenUsed/>
    <w:rsid w:val="00DF245D"/>
    <w:pPr>
      <w:spacing w:after="0" w:line="240" w:lineRule="auto"/>
    </w:pPr>
    <w:rPr>
      <w:color w:val="5B0D32" w:themeColor="accent4" w:themeShade="BF"/>
    </w:rPr>
    <w:tblPr>
      <w:tblStyleRowBandSize w:val="1"/>
      <w:tblStyleColBandSize w:val="1"/>
      <w:tblBorders>
        <w:top w:val="single" w:sz="8" w:space="0" w:color="7B1244" w:themeColor="accent4"/>
        <w:bottom w:val="single" w:sz="8" w:space="0" w:color="7B1244" w:themeColor="accent4"/>
      </w:tblBorders>
    </w:tblPr>
    <w:tblStylePr w:type="firstRow">
      <w:pPr>
        <w:spacing w:before="0" w:after="0" w:line="240" w:lineRule="auto"/>
      </w:pPr>
      <w:rPr>
        <w:b/>
        <w:bCs/>
      </w:rPr>
      <w:tblPr/>
      <w:tcPr>
        <w:tcBorders>
          <w:top w:val="single" w:sz="8" w:space="0" w:color="7B1244" w:themeColor="accent4"/>
          <w:left w:val="nil"/>
          <w:bottom w:val="single" w:sz="8" w:space="0" w:color="7B1244" w:themeColor="accent4"/>
          <w:right w:val="nil"/>
          <w:insideH w:val="nil"/>
          <w:insideV w:val="nil"/>
        </w:tcBorders>
      </w:tcPr>
    </w:tblStylePr>
    <w:tblStylePr w:type="lastRow">
      <w:pPr>
        <w:spacing w:before="0" w:after="0" w:line="240" w:lineRule="auto"/>
      </w:pPr>
      <w:rPr>
        <w:b/>
        <w:bCs/>
      </w:rPr>
      <w:tblPr/>
      <w:tcPr>
        <w:tcBorders>
          <w:top w:val="single" w:sz="8" w:space="0" w:color="7B1244" w:themeColor="accent4"/>
          <w:left w:val="nil"/>
          <w:bottom w:val="single" w:sz="8" w:space="0" w:color="7B1244"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3AFCF" w:themeFill="accent4" w:themeFillTint="3F"/>
      </w:tcPr>
    </w:tblStylePr>
    <w:tblStylePr w:type="band1Horz">
      <w:tblPr/>
      <w:tcPr>
        <w:tcBorders>
          <w:left w:val="nil"/>
          <w:right w:val="nil"/>
          <w:insideH w:val="nil"/>
          <w:insideV w:val="nil"/>
        </w:tcBorders>
        <w:shd w:val="clear" w:color="auto" w:fill="F3AFCF" w:themeFill="accent4" w:themeFillTint="3F"/>
      </w:tcPr>
    </w:tblStylePr>
  </w:style>
  <w:style w:type="table" w:styleId="LightShading-Accent5">
    <w:name w:val="Light Shading Accent 5"/>
    <w:basedOn w:val="TableNormal"/>
    <w:uiPriority w:val="60"/>
    <w:semiHidden/>
    <w:unhideWhenUsed/>
    <w:rsid w:val="00DF245D"/>
    <w:pPr>
      <w:spacing w:after="0" w:line="240" w:lineRule="auto"/>
    </w:pPr>
    <w:rPr>
      <w:color w:val="829708" w:themeColor="accent5" w:themeShade="BF"/>
    </w:rPr>
    <w:tblPr>
      <w:tblStyleRowBandSize w:val="1"/>
      <w:tblStyleColBandSize w:val="1"/>
      <w:tblBorders>
        <w:top w:val="single" w:sz="8" w:space="0" w:color="AFCA0B" w:themeColor="accent5"/>
        <w:bottom w:val="single" w:sz="8" w:space="0" w:color="AFCA0B" w:themeColor="accent5"/>
      </w:tblBorders>
    </w:tblPr>
    <w:tblStylePr w:type="firstRow">
      <w:pPr>
        <w:spacing w:before="0" w:after="0" w:line="240" w:lineRule="auto"/>
      </w:pPr>
      <w:rPr>
        <w:b/>
        <w:bCs/>
      </w:rPr>
      <w:tblPr/>
      <w:tcPr>
        <w:tcBorders>
          <w:top w:val="single" w:sz="8" w:space="0" w:color="AFCA0B" w:themeColor="accent5"/>
          <w:left w:val="nil"/>
          <w:bottom w:val="single" w:sz="8" w:space="0" w:color="AFCA0B" w:themeColor="accent5"/>
          <w:right w:val="nil"/>
          <w:insideH w:val="nil"/>
          <w:insideV w:val="nil"/>
        </w:tcBorders>
      </w:tcPr>
    </w:tblStylePr>
    <w:tblStylePr w:type="lastRow">
      <w:pPr>
        <w:spacing w:before="0" w:after="0" w:line="240" w:lineRule="auto"/>
      </w:pPr>
      <w:rPr>
        <w:b/>
        <w:bCs/>
      </w:rPr>
      <w:tblPr/>
      <w:tcPr>
        <w:tcBorders>
          <w:top w:val="single" w:sz="8" w:space="0" w:color="AFCA0B" w:themeColor="accent5"/>
          <w:left w:val="nil"/>
          <w:bottom w:val="single" w:sz="8" w:space="0" w:color="AFCA0B"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1FBB9" w:themeFill="accent5" w:themeFillTint="3F"/>
      </w:tcPr>
    </w:tblStylePr>
    <w:tblStylePr w:type="band1Horz">
      <w:tblPr/>
      <w:tcPr>
        <w:tcBorders>
          <w:left w:val="nil"/>
          <w:right w:val="nil"/>
          <w:insideH w:val="nil"/>
          <w:insideV w:val="nil"/>
        </w:tcBorders>
        <w:shd w:val="clear" w:color="auto" w:fill="F1FBB9" w:themeFill="accent5" w:themeFillTint="3F"/>
      </w:tcPr>
    </w:tblStylePr>
  </w:style>
  <w:style w:type="table" w:styleId="LightShading-Accent6">
    <w:name w:val="Light Shading Accent 6"/>
    <w:basedOn w:val="TableNormal"/>
    <w:uiPriority w:val="60"/>
    <w:semiHidden/>
    <w:unhideWhenUsed/>
    <w:rsid w:val="00DF245D"/>
    <w:pPr>
      <w:spacing w:after="0" w:line="240" w:lineRule="auto"/>
    </w:pPr>
    <w:rPr>
      <w:color w:val="2B7F27" w:themeColor="accent6" w:themeShade="BF"/>
    </w:rPr>
    <w:tblPr>
      <w:tblStyleRowBandSize w:val="1"/>
      <w:tblStyleColBandSize w:val="1"/>
      <w:tblBorders>
        <w:top w:val="single" w:sz="8" w:space="0" w:color="3AAA35" w:themeColor="accent6"/>
        <w:bottom w:val="single" w:sz="8" w:space="0" w:color="3AAA35" w:themeColor="accent6"/>
      </w:tblBorders>
    </w:tblPr>
    <w:tblStylePr w:type="firstRow">
      <w:pPr>
        <w:spacing w:before="0" w:after="0" w:line="240" w:lineRule="auto"/>
      </w:pPr>
      <w:rPr>
        <w:b/>
        <w:bCs/>
      </w:rPr>
      <w:tblPr/>
      <w:tcPr>
        <w:tcBorders>
          <w:top w:val="single" w:sz="8" w:space="0" w:color="3AAA35" w:themeColor="accent6"/>
          <w:left w:val="nil"/>
          <w:bottom w:val="single" w:sz="8" w:space="0" w:color="3AAA35" w:themeColor="accent6"/>
          <w:right w:val="nil"/>
          <w:insideH w:val="nil"/>
          <w:insideV w:val="nil"/>
        </w:tcBorders>
      </w:tcPr>
    </w:tblStylePr>
    <w:tblStylePr w:type="lastRow">
      <w:pPr>
        <w:spacing w:before="0" w:after="0" w:line="240" w:lineRule="auto"/>
      </w:pPr>
      <w:rPr>
        <w:b/>
        <w:bCs/>
      </w:rPr>
      <w:tblPr/>
      <w:tcPr>
        <w:tcBorders>
          <w:top w:val="single" w:sz="8" w:space="0" w:color="3AAA35" w:themeColor="accent6"/>
          <w:left w:val="nil"/>
          <w:bottom w:val="single" w:sz="8" w:space="0" w:color="3AAA35"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AEEC8" w:themeFill="accent6" w:themeFillTint="3F"/>
      </w:tcPr>
    </w:tblStylePr>
    <w:tblStylePr w:type="band1Horz">
      <w:tblPr/>
      <w:tcPr>
        <w:tcBorders>
          <w:left w:val="nil"/>
          <w:right w:val="nil"/>
          <w:insideH w:val="nil"/>
          <w:insideV w:val="nil"/>
        </w:tcBorders>
        <w:shd w:val="clear" w:color="auto" w:fill="CAEEC8" w:themeFill="accent6" w:themeFillTint="3F"/>
      </w:tcPr>
    </w:tblStylePr>
  </w:style>
  <w:style w:type="character" w:styleId="LineNumber">
    <w:name w:val="line number"/>
    <w:basedOn w:val="DefaultParagraphFont"/>
    <w:uiPriority w:val="99"/>
    <w:semiHidden/>
    <w:unhideWhenUsed/>
    <w:rsid w:val="00DF245D"/>
  </w:style>
  <w:style w:type="paragraph" w:styleId="MacroText">
    <w:name w:val="macro"/>
    <w:link w:val="MacroTextChar"/>
    <w:uiPriority w:val="99"/>
    <w:semiHidden/>
    <w:unhideWhenUsed/>
    <w:rsid w:val="00DF245D"/>
    <w:pPr>
      <w:tabs>
        <w:tab w:val="left" w:pos="480"/>
        <w:tab w:val="left" w:pos="960"/>
        <w:tab w:val="left" w:pos="1440"/>
        <w:tab w:val="left" w:pos="1920"/>
        <w:tab w:val="left" w:pos="2400"/>
        <w:tab w:val="left" w:pos="2880"/>
        <w:tab w:val="left" w:pos="3360"/>
        <w:tab w:val="left" w:pos="3840"/>
        <w:tab w:val="left" w:pos="4320"/>
      </w:tabs>
      <w:spacing w:after="0" w:line="260" w:lineRule="atLeast"/>
    </w:pPr>
    <w:rPr>
      <w:rFonts w:ascii="Consolas" w:hAnsi="Consolas"/>
      <w:sz w:val="20"/>
      <w:szCs w:val="20"/>
    </w:rPr>
  </w:style>
  <w:style w:type="character" w:customStyle="1" w:styleId="MacroTextChar">
    <w:name w:val="Macro Text Char"/>
    <w:basedOn w:val="DefaultParagraphFont"/>
    <w:link w:val="MacroText"/>
    <w:uiPriority w:val="99"/>
    <w:semiHidden/>
    <w:rsid w:val="00DF245D"/>
    <w:rPr>
      <w:rFonts w:ascii="Consolas" w:hAnsi="Consolas"/>
      <w:sz w:val="20"/>
      <w:szCs w:val="20"/>
    </w:rPr>
  </w:style>
  <w:style w:type="table" w:styleId="MediumGrid1">
    <w:name w:val="Medium Grid 1"/>
    <w:basedOn w:val="TableNormal"/>
    <w:uiPriority w:val="67"/>
    <w:semiHidden/>
    <w:unhideWhenUsed/>
    <w:rsid w:val="00DF245D"/>
    <w:pPr>
      <w:spacing w:after="0" w:line="240" w:lineRule="auto"/>
    </w:pPr>
    <w:tblPr>
      <w:tblStyleRowBandSize w:val="1"/>
      <w:tblStyleColBandSize w:val="1"/>
      <w:tblBorders>
        <w:top w:val="single" w:sz="8" w:space="0" w:color="5B6477" w:themeColor="text1" w:themeTint="BF"/>
        <w:left w:val="single" w:sz="8" w:space="0" w:color="5B6477" w:themeColor="text1" w:themeTint="BF"/>
        <w:bottom w:val="single" w:sz="8" w:space="0" w:color="5B6477" w:themeColor="text1" w:themeTint="BF"/>
        <w:right w:val="single" w:sz="8" w:space="0" w:color="5B6477" w:themeColor="text1" w:themeTint="BF"/>
        <w:insideH w:val="single" w:sz="8" w:space="0" w:color="5B6477" w:themeColor="text1" w:themeTint="BF"/>
        <w:insideV w:val="single" w:sz="8" w:space="0" w:color="5B6477" w:themeColor="text1" w:themeTint="BF"/>
      </w:tblBorders>
    </w:tblPr>
    <w:tcPr>
      <w:shd w:val="clear" w:color="auto" w:fill="C7CBD4" w:themeFill="text1" w:themeFillTint="3F"/>
    </w:tcPr>
    <w:tblStylePr w:type="firstRow">
      <w:rPr>
        <w:b/>
        <w:bCs/>
      </w:rPr>
    </w:tblStylePr>
    <w:tblStylePr w:type="lastRow">
      <w:rPr>
        <w:b/>
        <w:bCs/>
      </w:rPr>
      <w:tblPr/>
      <w:tcPr>
        <w:tcBorders>
          <w:top w:val="single" w:sz="18" w:space="0" w:color="5B6477" w:themeColor="text1" w:themeTint="BF"/>
        </w:tcBorders>
      </w:tcPr>
    </w:tblStylePr>
    <w:tblStylePr w:type="firstCol">
      <w:rPr>
        <w:b/>
        <w:bCs/>
      </w:rPr>
    </w:tblStylePr>
    <w:tblStylePr w:type="lastCol">
      <w:rPr>
        <w:b/>
        <w:bCs/>
      </w:rPr>
    </w:tblStylePr>
    <w:tblStylePr w:type="band1Vert">
      <w:tblPr/>
      <w:tcPr>
        <w:shd w:val="clear" w:color="auto" w:fill="8E97A9" w:themeFill="text1" w:themeFillTint="7F"/>
      </w:tcPr>
    </w:tblStylePr>
    <w:tblStylePr w:type="band1Horz">
      <w:tblPr/>
      <w:tcPr>
        <w:shd w:val="clear" w:color="auto" w:fill="8E97A9" w:themeFill="text1" w:themeFillTint="7F"/>
      </w:tcPr>
    </w:tblStylePr>
  </w:style>
  <w:style w:type="table" w:styleId="MediumGrid1-Accent1">
    <w:name w:val="Medium Grid 1 Accent 1"/>
    <w:basedOn w:val="TableNormal"/>
    <w:uiPriority w:val="67"/>
    <w:semiHidden/>
    <w:unhideWhenUsed/>
    <w:rsid w:val="00DF245D"/>
    <w:pPr>
      <w:spacing w:after="0" w:line="240" w:lineRule="auto"/>
    </w:pPr>
    <w:tblPr>
      <w:tblStyleRowBandSize w:val="1"/>
      <w:tblStyleColBandSize w:val="1"/>
      <w:tblBorders>
        <w:top w:val="single" w:sz="8" w:space="0" w:color="14C4FF" w:themeColor="accent1" w:themeTint="BF"/>
        <w:left w:val="single" w:sz="8" w:space="0" w:color="14C4FF" w:themeColor="accent1" w:themeTint="BF"/>
        <w:bottom w:val="single" w:sz="8" w:space="0" w:color="14C4FF" w:themeColor="accent1" w:themeTint="BF"/>
        <w:right w:val="single" w:sz="8" w:space="0" w:color="14C4FF" w:themeColor="accent1" w:themeTint="BF"/>
        <w:insideH w:val="single" w:sz="8" w:space="0" w:color="14C4FF" w:themeColor="accent1" w:themeTint="BF"/>
        <w:insideV w:val="single" w:sz="8" w:space="0" w:color="14C4FF" w:themeColor="accent1" w:themeTint="BF"/>
      </w:tblBorders>
    </w:tblPr>
    <w:tcPr>
      <w:shd w:val="clear" w:color="auto" w:fill="B1EBFF" w:themeFill="accent1" w:themeFillTint="3F"/>
    </w:tcPr>
    <w:tblStylePr w:type="firstRow">
      <w:rPr>
        <w:b/>
        <w:bCs/>
      </w:rPr>
    </w:tblStylePr>
    <w:tblStylePr w:type="lastRow">
      <w:rPr>
        <w:b/>
        <w:bCs/>
      </w:rPr>
      <w:tblPr/>
      <w:tcPr>
        <w:tcBorders>
          <w:top w:val="single" w:sz="18" w:space="0" w:color="14C4FF" w:themeColor="accent1" w:themeTint="BF"/>
        </w:tcBorders>
      </w:tcPr>
    </w:tblStylePr>
    <w:tblStylePr w:type="firstCol">
      <w:rPr>
        <w:b/>
        <w:bCs/>
      </w:rPr>
    </w:tblStylePr>
    <w:tblStylePr w:type="lastCol">
      <w:rPr>
        <w:b/>
        <w:bCs/>
      </w:rPr>
    </w:tblStylePr>
    <w:tblStylePr w:type="band1Vert">
      <w:tblPr/>
      <w:tcPr>
        <w:shd w:val="clear" w:color="auto" w:fill="63D7FF" w:themeFill="accent1" w:themeFillTint="7F"/>
      </w:tcPr>
    </w:tblStylePr>
    <w:tblStylePr w:type="band1Horz">
      <w:tblPr/>
      <w:tcPr>
        <w:shd w:val="clear" w:color="auto" w:fill="63D7FF" w:themeFill="accent1" w:themeFillTint="7F"/>
      </w:tcPr>
    </w:tblStylePr>
  </w:style>
  <w:style w:type="table" w:styleId="MediumGrid1-Accent2">
    <w:name w:val="Medium Grid 1 Accent 2"/>
    <w:basedOn w:val="TableNormal"/>
    <w:uiPriority w:val="67"/>
    <w:semiHidden/>
    <w:unhideWhenUsed/>
    <w:rsid w:val="00DF245D"/>
    <w:pPr>
      <w:spacing w:after="0" w:line="240" w:lineRule="auto"/>
    </w:pPr>
    <w:tblPr>
      <w:tblStyleRowBandSize w:val="1"/>
      <w:tblStyleColBandSize w:val="1"/>
      <w:tblBorders>
        <w:top w:val="single" w:sz="8" w:space="0" w:color="FF2C90" w:themeColor="accent2" w:themeTint="BF"/>
        <w:left w:val="single" w:sz="8" w:space="0" w:color="FF2C90" w:themeColor="accent2" w:themeTint="BF"/>
        <w:bottom w:val="single" w:sz="8" w:space="0" w:color="FF2C90" w:themeColor="accent2" w:themeTint="BF"/>
        <w:right w:val="single" w:sz="8" w:space="0" w:color="FF2C90" w:themeColor="accent2" w:themeTint="BF"/>
        <w:insideH w:val="single" w:sz="8" w:space="0" w:color="FF2C90" w:themeColor="accent2" w:themeTint="BF"/>
        <w:insideV w:val="single" w:sz="8" w:space="0" w:color="FF2C90" w:themeColor="accent2" w:themeTint="BF"/>
      </w:tblBorders>
    </w:tblPr>
    <w:tcPr>
      <w:shd w:val="clear" w:color="auto" w:fill="FFB9DA" w:themeFill="accent2" w:themeFillTint="3F"/>
    </w:tcPr>
    <w:tblStylePr w:type="firstRow">
      <w:rPr>
        <w:b/>
        <w:bCs/>
      </w:rPr>
    </w:tblStylePr>
    <w:tblStylePr w:type="lastRow">
      <w:rPr>
        <w:b/>
        <w:bCs/>
      </w:rPr>
      <w:tblPr/>
      <w:tcPr>
        <w:tcBorders>
          <w:top w:val="single" w:sz="18" w:space="0" w:color="FF2C90" w:themeColor="accent2" w:themeTint="BF"/>
        </w:tcBorders>
      </w:tcPr>
    </w:tblStylePr>
    <w:tblStylePr w:type="firstCol">
      <w:rPr>
        <w:b/>
        <w:bCs/>
      </w:rPr>
    </w:tblStylePr>
    <w:tblStylePr w:type="lastCol">
      <w:rPr>
        <w:b/>
        <w:bCs/>
      </w:rPr>
    </w:tblStylePr>
    <w:tblStylePr w:type="band1Vert">
      <w:tblPr/>
      <w:tcPr>
        <w:shd w:val="clear" w:color="auto" w:fill="FF73B5" w:themeFill="accent2" w:themeFillTint="7F"/>
      </w:tcPr>
    </w:tblStylePr>
    <w:tblStylePr w:type="band1Horz">
      <w:tblPr/>
      <w:tcPr>
        <w:shd w:val="clear" w:color="auto" w:fill="FF73B5" w:themeFill="accent2" w:themeFillTint="7F"/>
      </w:tcPr>
    </w:tblStylePr>
  </w:style>
  <w:style w:type="table" w:styleId="MediumGrid1-Accent3">
    <w:name w:val="Medium Grid 1 Accent 3"/>
    <w:basedOn w:val="TableNormal"/>
    <w:uiPriority w:val="67"/>
    <w:semiHidden/>
    <w:unhideWhenUsed/>
    <w:rsid w:val="00DF245D"/>
    <w:pPr>
      <w:spacing w:after="0" w:line="240" w:lineRule="auto"/>
    </w:pPr>
    <w:tblPr>
      <w:tblStyleRowBandSize w:val="1"/>
      <w:tblStyleColBandSize w:val="1"/>
      <w:tblBorders>
        <w:top w:val="single" w:sz="8" w:space="0" w:color="4536BB" w:themeColor="accent3" w:themeTint="BF"/>
        <w:left w:val="single" w:sz="8" w:space="0" w:color="4536BB" w:themeColor="accent3" w:themeTint="BF"/>
        <w:bottom w:val="single" w:sz="8" w:space="0" w:color="4536BB" w:themeColor="accent3" w:themeTint="BF"/>
        <w:right w:val="single" w:sz="8" w:space="0" w:color="4536BB" w:themeColor="accent3" w:themeTint="BF"/>
        <w:insideH w:val="single" w:sz="8" w:space="0" w:color="4536BB" w:themeColor="accent3" w:themeTint="BF"/>
        <w:insideV w:val="single" w:sz="8" w:space="0" w:color="4536BB" w:themeColor="accent3" w:themeTint="BF"/>
      </w:tblBorders>
    </w:tblPr>
    <w:tcPr>
      <w:shd w:val="clear" w:color="auto" w:fill="BFBAEB" w:themeFill="accent3" w:themeFillTint="3F"/>
    </w:tcPr>
    <w:tblStylePr w:type="firstRow">
      <w:rPr>
        <w:b/>
        <w:bCs/>
      </w:rPr>
    </w:tblStylePr>
    <w:tblStylePr w:type="lastRow">
      <w:rPr>
        <w:b/>
        <w:bCs/>
      </w:rPr>
      <w:tblPr/>
      <w:tcPr>
        <w:tcBorders>
          <w:top w:val="single" w:sz="18" w:space="0" w:color="4536BB" w:themeColor="accent3" w:themeTint="BF"/>
        </w:tcBorders>
      </w:tcPr>
    </w:tblStylePr>
    <w:tblStylePr w:type="firstCol">
      <w:rPr>
        <w:b/>
        <w:bCs/>
      </w:rPr>
    </w:tblStylePr>
    <w:tblStylePr w:type="lastCol">
      <w:rPr>
        <w:b/>
        <w:bCs/>
      </w:rPr>
    </w:tblStylePr>
    <w:tblStylePr w:type="band1Vert">
      <w:tblPr/>
      <w:tcPr>
        <w:shd w:val="clear" w:color="auto" w:fill="8074D7" w:themeFill="accent3" w:themeFillTint="7F"/>
      </w:tcPr>
    </w:tblStylePr>
    <w:tblStylePr w:type="band1Horz">
      <w:tblPr/>
      <w:tcPr>
        <w:shd w:val="clear" w:color="auto" w:fill="8074D7" w:themeFill="accent3" w:themeFillTint="7F"/>
      </w:tcPr>
    </w:tblStylePr>
  </w:style>
  <w:style w:type="table" w:styleId="MediumGrid1-Accent4">
    <w:name w:val="Medium Grid 1 Accent 4"/>
    <w:basedOn w:val="TableNormal"/>
    <w:uiPriority w:val="67"/>
    <w:semiHidden/>
    <w:unhideWhenUsed/>
    <w:rsid w:val="00DF245D"/>
    <w:pPr>
      <w:spacing w:after="0" w:line="240" w:lineRule="auto"/>
    </w:pPr>
    <w:tblPr>
      <w:tblStyleRowBandSize w:val="1"/>
      <w:tblStyleColBandSize w:val="1"/>
      <w:tblBorders>
        <w:top w:val="single" w:sz="8" w:space="0" w:color="CB1D70" w:themeColor="accent4" w:themeTint="BF"/>
        <w:left w:val="single" w:sz="8" w:space="0" w:color="CB1D70" w:themeColor="accent4" w:themeTint="BF"/>
        <w:bottom w:val="single" w:sz="8" w:space="0" w:color="CB1D70" w:themeColor="accent4" w:themeTint="BF"/>
        <w:right w:val="single" w:sz="8" w:space="0" w:color="CB1D70" w:themeColor="accent4" w:themeTint="BF"/>
        <w:insideH w:val="single" w:sz="8" w:space="0" w:color="CB1D70" w:themeColor="accent4" w:themeTint="BF"/>
        <w:insideV w:val="single" w:sz="8" w:space="0" w:color="CB1D70" w:themeColor="accent4" w:themeTint="BF"/>
      </w:tblBorders>
    </w:tblPr>
    <w:tcPr>
      <w:shd w:val="clear" w:color="auto" w:fill="F3AFCF" w:themeFill="accent4" w:themeFillTint="3F"/>
    </w:tcPr>
    <w:tblStylePr w:type="firstRow">
      <w:rPr>
        <w:b/>
        <w:bCs/>
      </w:rPr>
    </w:tblStylePr>
    <w:tblStylePr w:type="lastRow">
      <w:rPr>
        <w:b/>
        <w:bCs/>
      </w:rPr>
      <w:tblPr/>
      <w:tcPr>
        <w:tcBorders>
          <w:top w:val="single" w:sz="18" w:space="0" w:color="CB1D70" w:themeColor="accent4" w:themeTint="BF"/>
        </w:tcBorders>
      </w:tcPr>
    </w:tblStylePr>
    <w:tblStylePr w:type="firstCol">
      <w:rPr>
        <w:b/>
        <w:bCs/>
      </w:rPr>
    </w:tblStylePr>
    <w:tblStylePr w:type="lastCol">
      <w:rPr>
        <w:b/>
        <w:bCs/>
      </w:rPr>
    </w:tblStylePr>
    <w:tblStylePr w:type="band1Vert">
      <w:tblPr/>
      <w:tcPr>
        <w:shd w:val="clear" w:color="auto" w:fill="E75E9F" w:themeFill="accent4" w:themeFillTint="7F"/>
      </w:tcPr>
    </w:tblStylePr>
    <w:tblStylePr w:type="band1Horz">
      <w:tblPr/>
      <w:tcPr>
        <w:shd w:val="clear" w:color="auto" w:fill="E75E9F" w:themeFill="accent4" w:themeFillTint="7F"/>
      </w:tcPr>
    </w:tblStylePr>
  </w:style>
  <w:style w:type="table" w:styleId="MediumGrid1-Accent5">
    <w:name w:val="Medium Grid 1 Accent 5"/>
    <w:basedOn w:val="TableNormal"/>
    <w:uiPriority w:val="67"/>
    <w:semiHidden/>
    <w:unhideWhenUsed/>
    <w:rsid w:val="00DF245D"/>
    <w:pPr>
      <w:spacing w:after="0" w:line="240" w:lineRule="auto"/>
    </w:pPr>
    <w:tblPr>
      <w:tblStyleRowBandSize w:val="1"/>
      <w:tblStyleColBandSize w:val="1"/>
      <w:tblBorders>
        <w:top w:val="single" w:sz="8" w:space="0" w:color="D6F32B" w:themeColor="accent5" w:themeTint="BF"/>
        <w:left w:val="single" w:sz="8" w:space="0" w:color="D6F32B" w:themeColor="accent5" w:themeTint="BF"/>
        <w:bottom w:val="single" w:sz="8" w:space="0" w:color="D6F32B" w:themeColor="accent5" w:themeTint="BF"/>
        <w:right w:val="single" w:sz="8" w:space="0" w:color="D6F32B" w:themeColor="accent5" w:themeTint="BF"/>
        <w:insideH w:val="single" w:sz="8" w:space="0" w:color="D6F32B" w:themeColor="accent5" w:themeTint="BF"/>
        <w:insideV w:val="single" w:sz="8" w:space="0" w:color="D6F32B" w:themeColor="accent5" w:themeTint="BF"/>
      </w:tblBorders>
    </w:tblPr>
    <w:tcPr>
      <w:shd w:val="clear" w:color="auto" w:fill="F1FBB9" w:themeFill="accent5" w:themeFillTint="3F"/>
    </w:tcPr>
    <w:tblStylePr w:type="firstRow">
      <w:rPr>
        <w:b/>
        <w:bCs/>
      </w:rPr>
    </w:tblStylePr>
    <w:tblStylePr w:type="lastRow">
      <w:rPr>
        <w:b/>
        <w:bCs/>
      </w:rPr>
      <w:tblPr/>
      <w:tcPr>
        <w:tcBorders>
          <w:top w:val="single" w:sz="18" w:space="0" w:color="D6F32B" w:themeColor="accent5" w:themeTint="BF"/>
        </w:tcBorders>
      </w:tcPr>
    </w:tblStylePr>
    <w:tblStylePr w:type="firstCol">
      <w:rPr>
        <w:b/>
        <w:bCs/>
      </w:rPr>
    </w:tblStylePr>
    <w:tblStylePr w:type="lastCol">
      <w:rPr>
        <w:b/>
        <w:bCs/>
      </w:rPr>
    </w:tblStylePr>
    <w:tblStylePr w:type="band1Vert">
      <w:tblPr/>
      <w:tcPr>
        <w:shd w:val="clear" w:color="auto" w:fill="E4F772" w:themeFill="accent5" w:themeFillTint="7F"/>
      </w:tcPr>
    </w:tblStylePr>
    <w:tblStylePr w:type="band1Horz">
      <w:tblPr/>
      <w:tcPr>
        <w:shd w:val="clear" w:color="auto" w:fill="E4F772" w:themeFill="accent5" w:themeFillTint="7F"/>
      </w:tcPr>
    </w:tblStylePr>
  </w:style>
  <w:style w:type="table" w:styleId="MediumGrid1-Accent6">
    <w:name w:val="Medium Grid 1 Accent 6"/>
    <w:basedOn w:val="TableNormal"/>
    <w:uiPriority w:val="67"/>
    <w:semiHidden/>
    <w:unhideWhenUsed/>
    <w:rsid w:val="00DF245D"/>
    <w:pPr>
      <w:spacing w:after="0" w:line="240" w:lineRule="auto"/>
    </w:pPr>
    <w:tblPr>
      <w:tblStyleRowBandSize w:val="1"/>
      <w:tblStyleColBandSize w:val="1"/>
      <w:tblBorders>
        <w:top w:val="single" w:sz="8" w:space="0" w:color="5FCC5B" w:themeColor="accent6" w:themeTint="BF"/>
        <w:left w:val="single" w:sz="8" w:space="0" w:color="5FCC5B" w:themeColor="accent6" w:themeTint="BF"/>
        <w:bottom w:val="single" w:sz="8" w:space="0" w:color="5FCC5B" w:themeColor="accent6" w:themeTint="BF"/>
        <w:right w:val="single" w:sz="8" w:space="0" w:color="5FCC5B" w:themeColor="accent6" w:themeTint="BF"/>
        <w:insideH w:val="single" w:sz="8" w:space="0" w:color="5FCC5B" w:themeColor="accent6" w:themeTint="BF"/>
        <w:insideV w:val="single" w:sz="8" w:space="0" w:color="5FCC5B" w:themeColor="accent6" w:themeTint="BF"/>
      </w:tblBorders>
    </w:tblPr>
    <w:tcPr>
      <w:shd w:val="clear" w:color="auto" w:fill="CAEEC8" w:themeFill="accent6" w:themeFillTint="3F"/>
    </w:tcPr>
    <w:tblStylePr w:type="firstRow">
      <w:rPr>
        <w:b/>
        <w:bCs/>
      </w:rPr>
    </w:tblStylePr>
    <w:tblStylePr w:type="lastRow">
      <w:rPr>
        <w:b/>
        <w:bCs/>
      </w:rPr>
      <w:tblPr/>
      <w:tcPr>
        <w:tcBorders>
          <w:top w:val="single" w:sz="18" w:space="0" w:color="5FCC5B" w:themeColor="accent6" w:themeTint="BF"/>
        </w:tcBorders>
      </w:tcPr>
    </w:tblStylePr>
    <w:tblStylePr w:type="firstCol">
      <w:rPr>
        <w:b/>
        <w:bCs/>
      </w:rPr>
    </w:tblStylePr>
    <w:tblStylePr w:type="lastCol">
      <w:rPr>
        <w:b/>
        <w:bCs/>
      </w:rPr>
    </w:tblStylePr>
    <w:tblStylePr w:type="band1Vert">
      <w:tblPr/>
      <w:tcPr>
        <w:shd w:val="clear" w:color="auto" w:fill="94DD92" w:themeFill="accent6" w:themeFillTint="7F"/>
      </w:tcPr>
    </w:tblStylePr>
    <w:tblStylePr w:type="band1Horz">
      <w:tblPr/>
      <w:tcPr>
        <w:shd w:val="clear" w:color="auto" w:fill="94DD92" w:themeFill="accent6" w:themeFillTint="7F"/>
      </w:tcPr>
    </w:tblStylePr>
  </w:style>
  <w:style w:type="table" w:styleId="MediumGrid2">
    <w:name w:val="Medium Grid 2"/>
    <w:basedOn w:val="TableNormal"/>
    <w:uiPriority w:val="68"/>
    <w:semiHidden/>
    <w:unhideWhenUsed/>
    <w:rsid w:val="00DF245D"/>
    <w:pPr>
      <w:spacing w:after="0" w:line="240" w:lineRule="auto"/>
    </w:pPr>
    <w:rPr>
      <w:rFonts w:asciiTheme="majorHAnsi" w:eastAsiaTheme="majorEastAsia" w:hAnsiTheme="majorHAnsi" w:cstheme="majorBidi"/>
      <w:color w:val="30353F" w:themeColor="text1"/>
    </w:rPr>
    <w:tblPr>
      <w:tblStyleRowBandSize w:val="1"/>
      <w:tblStyleColBandSize w:val="1"/>
      <w:tblBorders>
        <w:top w:val="single" w:sz="8" w:space="0" w:color="30353F" w:themeColor="text1"/>
        <w:left w:val="single" w:sz="8" w:space="0" w:color="30353F" w:themeColor="text1"/>
        <w:bottom w:val="single" w:sz="8" w:space="0" w:color="30353F" w:themeColor="text1"/>
        <w:right w:val="single" w:sz="8" w:space="0" w:color="30353F" w:themeColor="text1"/>
        <w:insideH w:val="single" w:sz="8" w:space="0" w:color="30353F" w:themeColor="text1"/>
        <w:insideV w:val="single" w:sz="8" w:space="0" w:color="30353F" w:themeColor="text1"/>
      </w:tblBorders>
    </w:tblPr>
    <w:tcPr>
      <w:shd w:val="clear" w:color="auto" w:fill="C7CBD4" w:themeFill="text1" w:themeFillTint="3F"/>
    </w:tcPr>
    <w:tblStylePr w:type="firstRow">
      <w:rPr>
        <w:b/>
        <w:bCs/>
        <w:color w:val="30353F" w:themeColor="text1"/>
      </w:rPr>
      <w:tblPr/>
      <w:tcPr>
        <w:shd w:val="clear" w:color="auto" w:fill="E8EAEE" w:themeFill="text1" w:themeFillTint="19"/>
      </w:tcPr>
    </w:tblStylePr>
    <w:tblStylePr w:type="lastRow">
      <w:rPr>
        <w:b/>
        <w:bCs/>
        <w:color w:val="30353F" w:themeColor="text1"/>
      </w:rPr>
      <w:tblPr/>
      <w:tcPr>
        <w:tcBorders>
          <w:top w:val="single" w:sz="12" w:space="0" w:color="30353F" w:themeColor="text1"/>
          <w:left w:val="nil"/>
          <w:bottom w:val="nil"/>
          <w:right w:val="nil"/>
          <w:insideH w:val="nil"/>
          <w:insideV w:val="nil"/>
        </w:tcBorders>
        <w:shd w:val="clear" w:color="auto" w:fill="FFFFFF" w:themeFill="background1"/>
      </w:tcPr>
    </w:tblStylePr>
    <w:tblStylePr w:type="firstCol">
      <w:rPr>
        <w:b/>
        <w:bCs/>
        <w:color w:val="30353F"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0353F" w:themeColor="text1"/>
      </w:rPr>
      <w:tblPr/>
      <w:tcPr>
        <w:tcBorders>
          <w:top w:val="nil"/>
          <w:left w:val="nil"/>
          <w:bottom w:val="nil"/>
          <w:right w:val="nil"/>
          <w:insideH w:val="nil"/>
          <w:insideV w:val="nil"/>
        </w:tcBorders>
        <w:shd w:val="clear" w:color="auto" w:fill="D1D5DC" w:themeFill="text1" w:themeFillTint="33"/>
      </w:tcPr>
    </w:tblStylePr>
    <w:tblStylePr w:type="band1Vert">
      <w:tblPr/>
      <w:tcPr>
        <w:shd w:val="clear" w:color="auto" w:fill="8E97A9" w:themeFill="text1" w:themeFillTint="7F"/>
      </w:tcPr>
    </w:tblStylePr>
    <w:tblStylePr w:type="band1Horz">
      <w:tblPr/>
      <w:tcPr>
        <w:tcBorders>
          <w:insideH w:val="single" w:sz="6" w:space="0" w:color="30353F" w:themeColor="text1"/>
          <w:insideV w:val="single" w:sz="6" w:space="0" w:color="30353F" w:themeColor="text1"/>
        </w:tcBorders>
        <w:shd w:val="clear" w:color="auto" w:fill="8E97A9"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DF245D"/>
    <w:pPr>
      <w:spacing w:after="0" w:line="240" w:lineRule="auto"/>
    </w:pPr>
    <w:rPr>
      <w:rFonts w:asciiTheme="majorHAnsi" w:eastAsiaTheme="majorEastAsia" w:hAnsiTheme="majorHAnsi" w:cstheme="majorBidi"/>
      <w:color w:val="30353F" w:themeColor="text1"/>
    </w:rPr>
    <w:tblPr>
      <w:tblStyleRowBandSize w:val="1"/>
      <w:tblStyleColBandSize w:val="1"/>
      <w:tblBorders>
        <w:top w:val="single" w:sz="8" w:space="0" w:color="0094C5" w:themeColor="accent1"/>
        <w:left w:val="single" w:sz="8" w:space="0" w:color="0094C5" w:themeColor="accent1"/>
        <w:bottom w:val="single" w:sz="8" w:space="0" w:color="0094C5" w:themeColor="accent1"/>
        <w:right w:val="single" w:sz="8" w:space="0" w:color="0094C5" w:themeColor="accent1"/>
        <w:insideH w:val="single" w:sz="8" w:space="0" w:color="0094C5" w:themeColor="accent1"/>
        <w:insideV w:val="single" w:sz="8" w:space="0" w:color="0094C5" w:themeColor="accent1"/>
      </w:tblBorders>
    </w:tblPr>
    <w:tcPr>
      <w:shd w:val="clear" w:color="auto" w:fill="B1EBFF" w:themeFill="accent1" w:themeFillTint="3F"/>
    </w:tcPr>
    <w:tblStylePr w:type="firstRow">
      <w:rPr>
        <w:b/>
        <w:bCs/>
        <w:color w:val="30353F" w:themeColor="text1"/>
      </w:rPr>
      <w:tblPr/>
      <w:tcPr>
        <w:shd w:val="clear" w:color="auto" w:fill="E0F7FF" w:themeFill="accent1" w:themeFillTint="19"/>
      </w:tcPr>
    </w:tblStylePr>
    <w:tblStylePr w:type="lastRow">
      <w:rPr>
        <w:b/>
        <w:bCs/>
        <w:color w:val="30353F" w:themeColor="text1"/>
      </w:rPr>
      <w:tblPr/>
      <w:tcPr>
        <w:tcBorders>
          <w:top w:val="single" w:sz="12" w:space="0" w:color="30353F" w:themeColor="text1"/>
          <w:left w:val="nil"/>
          <w:bottom w:val="nil"/>
          <w:right w:val="nil"/>
          <w:insideH w:val="nil"/>
          <w:insideV w:val="nil"/>
        </w:tcBorders>
        <w:shd w:val="clear" w:color="auto" w:fill="FFFFFF" w:themeFill="background1"/>
      </w:tcPr>
    </w:tblStylePr>
    <w:tblStylePr w:type="firstCol">
      <w:rPr>
        <w:b/>
        <w:bCs/>
        <w:color w:val="30353F"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0353F" w:themeColor="text1"/>
      </w:rPr>
      <w:tblPr/>
      <w:tcPr>
        <w:tcBorders>
          <w:top w:val="nil"/>
          <w:left w:val="nil"/>
          <w:bottom w:val="nil"/>
          <w:right w:val="nil"/>
          <w:insideH w:val="nil"/>
          <w:insideV w:val="nil"/>
        </w:tcBorders>
        <w:shd w:val="clear" w:color="auto" w:fill="C0EFFF" w:themeFill="accent1" w:themeFillTint="33"/>
      </w:tcPr>
    </w:tblStylePr>
    <w:tblStylePr w:type="band1Vert">
      <w:tblPr/>
      <w:tcPr>
        <w:shd w:val="clear" w:color="auto" w:fill="63D7FF" w:themeFill="accent1" w:themeFillTint="7F"/>
      </w:tcPr>
    </w:tblStylePr>
    <w:tblStylePr w:type="band1Horz">
      <w:tblPr/>
      <w:tcPr>
        <w:tcBorders>
          <w:insideH w:val="single" w:sz="6" w:space="0" w:color="0094C5" w:themeColor="accent1"/>
          <w:insideV w:val="single" w:sz="6" w:space="0" w:color="0094C5" w:themeColor="accent1"/>
        </w:tcBorders>
        <w:shd w:val="clear" w:color="auto" w:fill="63D7FF"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DF245D"/>
    <w:pPr>
      <w:spacing w:after="0" w:line="240" w:lineRule="auto"/>
    </w:pPr>
    <w:rPr>
      <w:rFonts w:asciiTheme="majorHAnsi" w:eastAsiaTheme="majorEastAsia" w:hAnsiTheme="majorHAnsi" w:cstheme="majorBidi"/>
      <w:color w:val="30353F" w:themeColor="text1"/>
    </w:rPr>
    <w:tblPr>
      <w:tblStyleRowBandSize w:val="1"/>
      <w:tblStyleColBandSize w:val="1"/>
      <w:tblBorders>
        <w:top w:val="single" w:sz="8" w:space="0" w:color="E5006D" w:themeColor="accent2"/>
        <w:left w:val="single" w:sz="8" w:space="0" w:color="E5006D" w:themeColor="accent2"/>
        <w:bottom w:val="single" w:sz="8" w:space="0" w:color="E5006D" w:themeColor="accent2"/>
        <w:right w:val="single" w:sz="8" w:space="0" w:color="E5006D" w:themeColor="accent2"/>
        <w:insideH w:val="single" w:sz="8" w:space="0" w:color="E5006D" w:themeColor="accent2"/>
        <w:insideV w:val="single" w:sz="8" w:space="0" w:color="E5006D" w:themeColor="accent2"/>
      </w:tblBorders>
    </w:tblPr>
    <w:tcPr>
      <w:shd w:val="clear" w:color="auto" w:fill="FFB9DA" w:themeFill="accent2" w:themeFillTint="3F"/>
    </w:tcPr>
    <w:tblStylePr w:type="firstRow">
      <w:rPr>
        <w:b/>
        <w:bCs/>
        <w:color w:val="30353F" w:themeColor="text1"/>
      </w:rPr>
      <w:tblPr/>
      <w:tcPr>
        <w:shd w:val="clear" w:color="auto" w:fill="FFE3F0" w:themeFill="accent2" w:themeFillTint="19"/>
      </w:tcPr>
    </w:tblStylePr>
    <w:tblStylePr w:type="lastRow">
      <w:rPr>
        <w:b/>
        <w:bCs/>
        <w:color w:val="30353F" w:themeColor="text1"/>
      </w:rPr>
      <w:tblPr/>
      <w:tcPr>
        <w:tcBorders>
          <w:top w:val="single" w:sz="12" w:space="0" w:color="30353F" w:themeColor="text1"/>
          <w:left w:val="nil"/>
          <w:bottom w:val="nil"/>
          <w:right w:val="nil"/>
          <w:insideH w:val="nil"/>
          <w:insideV w:val="nil"/>
        </w:tcBorders>
        <w:shd w:val="clear" w:color="auto" w:fill="FFFFFF" w:themeFill="background1"/>
      </w:tcPr>
    </w:tblStylePr>
    <w:tblStylePr w:type="firstCol">
      <w:rPr>
        <w:b/>
        <w:bCs/>
        <w:color w:val="30353F"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0353F" w:themeColor="text1"/>
      </w:rPr>
      <w:tblPr/>
      <w:tcPr>
        <w:tcBorders>
          <w:top w:val="nil"/>
          <w:left w:val="nil"/>
          <w:bottom w:val="nil"/>
          <w:right w:val="nil"/>
          <w:insideH w:val="nil"/>
          <w:insideV w:val="nil"/>
        </w:tcBorders>
        <w:shd w:val="clear" w:color="auto" w:fill="FFC6E1" w:themeFill="accent2" w:themeFillTint="33"/>
      </w:tcPr>
    </w:tblStylePr>
    <w:tblStylePr w:type="band1Vert">
      <w:tblPr/>
      <w:tcPr>
        <w:shd w:val="clear" w:color="auto" w:fill="FF73B5" w:themeFill="accent2" w:themeFillTint="7F"/>
      </w:tcPr>
    </w:tblStylePr>
    <w:tblStylePr w:type="band1Horz">
      <w:tblPr/>
      <w:tcPr>
        <w:tcBorders>
          <w:insideH w:val="single" w:sz="6" w:space="0" w:color="E5006D" w:themeColor="accent2"/>
          <w:insideV w:val="single" w:sz="6" w:space="0" w:color="E5006D" w:themeColor="accent2"/>
        </w:tcBorders>
        <w:shd w:val="clear" w:color="auto" w:fill="FF73B5"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DF245D"/>
    <w:pPr>
      <w:spacing w:after="0" w:line="240" w:lineRule="auto"/>
    </w:pPr>
    <w:rPr>
      <w:rFonts w:asciiTheme="majorHAnsi" w:eastAsiaTheme="majorEastAsia" w:hAnsiTheme="majorHAnsi" w:cstheme="majorBidi"/>
      <w:color w:val="30353F" w:themeColor="text1"/>
    </w:rPr>
    <w:tblPr>
      <w:tblStyleRowBandSize w:val="1"/>
      <w:tblStyleColBandSize w:val="1"/>
      <w:tblBorders>
        <w:top w:val="single" w:sz="8" w:space="0" w:color="2C2276" w:themeColor="accent3"/>
        <w:left w:val="single" w:sz="8" w:space="0" w:color="2C2276" w:themeColor="accent3"/>
        <w:bottom w:val="single" w:sz="8" w:space="0" w:color="2C2276" w:themeColor="accent3"/>
        <w:right w:val="single" w:sz="8" w:space="0" w:color="2C2276" w:themeColor="accent3"/>
        <w:insideH w:val="single" w:sz="8" w:space="0" w:color="2C2276" w:themeColor="accent3"/>
        <w:insideV w:val="single" w:sz="8" w:space="0" w:color="2C2276" w:themeColor="accent3"/>
      </w:tblBorders>
    </w:tblPr>
    <w:tcPr>
      <w:shd w:val="clear" w:color="auto" w:fill="BFBAEB" w:themeFill="accent3" w:themeFillTint="3F"/>
    </w:tcPr>
    <w:tblStylePr w:type="firstRow">
      <w:rPr>
        <w:b/>
        <w:bCs/>
        <w:color w:val="30353F" w:themeColor="text1"/>
      </w:rPr>
      <w:tblPr/>
      <w:tcPr>
        <w:shd w:val="clear" w:color="auto" w:fill="E5E3F7" w:themeFill="accent3" w:themeFillTint="19"/>
      </w:tcPr>
    </w:tblStylePr>
    <w:tblStylePr w:type="lastRow">
      <w:rPr>
        <w:b/>
        <w:bCs/>
        <w:color w:val="30353F" w:themeColor="text1"/>
      </w:rPr>
      <w:tblPr/>
      <w:tcPr>
        <w:tcBorders>
          <w:top w:val="single" w:sz="12" w:space="0" w:color="30353F" w:themeColor="text1"/>
          <w:left w:val="nil"/>
          <w:bottom w:val="nil"/>
          <w:right w:val="nil"/>
          <w:insideH w:val="nil"/>
          <w:insideV w:val="nil"/>
        </w:tcBorders>
        <w:shd w:val="clear" w:color="auto" w:fill="FFFFFF" w:themeFill="background1"/>
      </w:tcPr>
    </w:tblStylePr>
    <w:tblStylePr w:type="firstCol">
      <w:rPr>
        <w:b/>
        <w:bCs/>
        <w:color w:val="30353F"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0353F" w:themeColor="text1"/>
      </w:rPr>
      <w:tblPr/>
      <w:tcPr>
        <w:tcBorders>
          <w:top w:val="nil"/>
          <w:left w:val="nil"/>
          <w:bottom w:val="nil"/>
          <w:right w:val="nil"/>
          <w:insideH w:val="nil"/>
          <w:insideV w:val="nil"/>
        </w:tcBorders>
        <w:shd w:val="clear" w:color="auto" w:fill="CCC7EF" w:themeFill="accent3" w:themeFillTint="33"/>
      </w:tcPr>
    </w:tblStylePr>
    <w:tblStylePr w:type="band1Vert">
      <w:tblPr/>
      <w:tcPr>
        <w:shd w:val="clear" w:color="auto" w:fill="8074D7" w:themeFill="accent3" w:themeFillTint="7F"/>
      </w:tcPr>
    </w:tblStylePr>
    <w:tblStylePr w:type="band1Horz">
      <w:tblPr/>
      <w:tcPr>
        <w:tcBorders>
          <w:insideH w:val="single" w:sz="6" w:space="0" w:color="2C2276" w:themeColor="accent3"/>
          <w:insideV w:val="single" w:sz="6" w:space="0" w:color="2C2276" w:themeColor="accent3"/>
        </w:tcBorders>
        <w:shd w:val="clear" w:color="auto" w:fill="8074D7"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DF245D"/>
    <w:pPr>
      <w:spacing w:after="0" w:line="240" w:lineRule="auto"/>
    </w:pPr>
    <w:rPr>
      <w:rFonts w:asciiTheme="majorHAnsi" w:eastAsiaTheme="majorEastAsia" w:hAnsiTheme="majorHAnsi" w:cstheme="majorBidi"/>
      <w:color w:val="30353F" w:themeColor="text1"/>
    </w:rPr>
    <w:tblPr>
      <w:tblStyleRowBandSize w:val="1"/>
      <w:tblStyleColBandSize w:val="1"/>
      <w:tblBorders>
        <w:top w:val="single" w:sz="8" w:space="0" w:color="7B1244" w:themeColor="accent4"/>
        <w:left w:val="single" w:sz="8" w:space="0" w:color="7B1244" w:themeColor="accent4"/>
        <w:bottom w:val="single" w:sz="8" w:space="0" w:color="7B1244" w:themeColor="accent4"/>
        <w:right w:val="single" w:sz="8" w:space="0" w:color="7B1244" w:themeColor="accent4"/>
        <w:insideH w:val="single" w:sz="8" w:space="0" w:color="7B1244" w:themeColor="accent4"/>
        <w:insideV w:val="single" w:sz="8" w:space="0" w:color="7B1244" w:themeColor="accent4"/>
      </w:tblBorders>
    </w:tblPr>
    <w:tcPr>
      <w:shd w:val="clear" w:color="auto" w:fill="F3AFCF" w:themeFill="accent4" w:themeFillTint="3F"/>
    </w:tcPr>
    <w:tblStylePr w:type="firstRow">
      <w:rPr>
        <w:b/>
        <w:bCs/>
        <w:color w:val="30353F" w:themeColor="text1"/>
      </w:rPr>
      <w:tblPr/>
      <w:tcPr>
        <w:shd w:val="clear" w:color="auto" w:fill="FADFEC" w:themeFill="accent4" w:themeFillTint="19"/>
      </w:tcPr>
    </w:tblStylePr>
    <w:tblStylePr w:type="lastRow">
      <w:rPr>
        <w:b/>
        <w:bCs/>
        <w:color w:val="30353F" w:themeColor="text1"/>
      </w:rPr>
      <w:tblPr/>
      <w:tcPr>
        <w:tcBorders>
          <w:top w:val="single" w:sz="12" w:space="0" w:color="30353F" w:themeColor="text1"/>
          <w:left w:val="nil"/>
          <w:bottom w:val="nil"/>
          <w:right w:val="nil"/>
          <w:insideH w:val="nil"/>
          <w:insideV w:val="nil"/>
        </w:tcBorders>
        <w:shd w:val="clear" w:color="auto" w:fill="FFFFFF" w:themeFill="background1"/>
      </w:tcPr>
    </w:tblStylePr>
    <w:tblStylePr w:type="firstCol">
      <w:rPr>
        <w:b/>
        <w:bCs/>
        <w:color w:val="30353F"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0353F" w:themeColor="text1"/>
      </w:rPr>
      <w:tblPr/>
      <w:tcPr>
        <w:tcBorders>
          <w:top w:val="nil"/>
          <w:left w:val="nil"/>
          <w:bottom w:val="nil"/>
          <w:right w:val="nil"/>
          <w:insideH w:val="nil"/>
          <w:insideV w:val="nil"/>
        </w:tcBorders>
        <w:shd w:val="clear" w:color="auto" w:fill="F5BED8" w:themeFill="accent4" w:themeFillTint="33"/>
      </w:tcPr>
    </w:tblStylePr>
    <w:tblStylePr w:type="band1Vert">
      <w:tblPr/>
      <w:tcPr>
        <w:shd w:val="clear" w:color="auto" w:fill="E75E9F" w:themeFill="accent4" w:themeFillTint="7F"/>
      </w:tcPr>
    </w:tblStylePr>
    <w:tblStylePr w:type="band1Horz">
      <w:tblPr/>
      <w:tcPr>
        <w:tcBorders>
          <w:insideH w:val="single" w:sz="6" w:space="0" w:color="7B1244" w:themeColor="accent4"/>
          <w:insideV w:val="single" w:sz="6" w:space="0" w:color="7B1244" w:themeColor="accent4"/>
        </w:tcBorders>
        <w:shd w:val="clear" w:color="auto" w:fill="E75E9F"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DF245D"/>
    <w:pPr>
      <w:spacing w:after="0" w:line="240" w:lineRule="auto"/>
    </w:pPr>
    <w:rPr>
      <w:rFonts w:asciiTheme="majorHAnsi" w:eastAsiaTheme="majorEastAsia" w:hAnsiTheme="majorHAnsi" w:cstheme="majorBidi"/>
      <w:color w:val="30353F" w:themeColor="text1"/>
    </w:rPr>
    <w:tblPr>
      <w:tblStyleRowBandSize w:val="1"/>
      <w:tblStyleColBandSize w:val="1"/>
      <w:tblBorders>
        <w:top w:val="single" w:sz="8" w:space="0" w:color="AFCA0B" w:themeColor="accent5"/>
        <w:left w:val="single" w:sz="8" w:space="0" w:color="AFCA0B" w:themeColor="accent5"/>
        <w:bottom w:val="single" w:sz="8" w:space="0" w:color="AFCA0B" w:themeColor="accent5"/>
        <w:right w:val="single" w:sz="8" w:space="0" w:color="AFCA0B" w:themeColor="accent5"/>
        <w:insideH w:val="single" w:sz="8" w:space="0" w:color="AFCA0B" w:themeColor="accent5"/>
        <w:insideV w:val="single" w:sz="8" w:space="0" w:color="AFCA0B" w:themeColor="accent5"/>
      </w:tblBorders>
    </w:tblPr>
    <w:tcPr>
      <w:shd w:val="clear" w:color="auto" w:fill="F1FBB9" w:themeFill="accent5" w:themeFillTint="3F"/>
    </w:tcPr>
    <w:tblStylePr w:type="firstRow">
      <w:rPr>
        <w:b/>
        <w:bCs/>
        <w:color w:val="30353F" w:themeColor="text1"/>
      </w:rPr>
      <w:tblPr/>
      <w:tcPr>
        <w:shd w:val="clear" w:color="auto" w:fill="F9FDE3" w:themeFill="accent5" w:themeFillTint="19"/>
      </w:tcPr>
    </w:tblStylePr>
    <w:tblStylePr w:type="lastRow">
      <w:rPr>
        <w:b/>
        <w:bCs/>
        <w:color w:val="30353F" w:themeColor="text1"/>
      </w:rPr>
      <w:tblPr/>
      <w:tcPr>
        <w:tcBorders>
          <w:top w:val="single" w:sz="12" w:space="0" w:color="30353F" w:themeColor="text1"/>
          <w:left w:val="nil"/>
          <w:bottom w:val="nil"/>
          <w:right w:val="nil"/>
          <w:insideH w:val="nil"/>
          <w:insideV w:val="nil"/>
        </w:tcBorders>
        <w:shd w:val="clear" w:color="auto" w:fill="FFFFFF" w:themeFill="background1"/>
      </w:tcPr>
    </w:tblStylePr>
    <w:tblStylePr w:type="firstCol">
      <w:rPr>
        <w:b/>
        <w:bCs/>
        <w:color w:val="30353F"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0353F" w:themeColor="text1"/>
      </w:rPr>
      <w:tblPr/>
      <w:tcPr>
        <w:tcBorders>
          <w:top w:val="nil"/>
          <w:left w:val="nil"/>
          <w:bottom w:val="nil"/>
          <w:right w:val="nil"/>
          <w:insideH w:val="nil"/>
          <w:insideV w:val="nil"/>
        </w:tcBorders>
        <w:shd w:val="clear" w:color="auto" w:fill="F4FCC6" w:themeFill="accent5" w:themeFillTint="33"/>
      </w:tcPr>
    </w:tblStylePr>
    <w:tblStylePr w:type="band1Vert">
      <w:tblPr/>
      <w:tcPr>
        <w:shd w:val="clear" w:color="auto" w:fill="E4F772" w:themeFill="accent5" w:themeFillTint="7F"/>
      </w:tcPr>
    </w:tblStylePr>
    <w:tblStylePr w:type="band1Horz">
      <w:tblPr/>
      <w:tcPr>
        <w:tcBorders>
          <w:insideH w:val="single" w:sz="6" w:space="0" w:color="AFCA0B" w:themeColor="accent5"/>
          <w:insideV w:val="single" w:sz="6" w:space="0" w:color="AFCA0B" w:themeColor="accent5"/>
        </w:tcBorders>
        <w:shd w:val="clear" w:color="auto" w:fill="E4F77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DF245D"/>
    <w:pPr>
      <w:spacing w:after="0" w:line="240" w:lineRule="auto"/>
    </w:pPr>
    <w:rPr>
      <w:rFonts w:asciiTheme="majorHAnsi" w:eastAsiaTheme="majorEastAsia" w:hAnsiTheme="majorHAnsi" w:cstheme="majorBidi"/>
      <w:color w:val="30353F" w:themeColor="text1"/>
    </w:rPr>
    <w:tblPr>
      <w:tblStyleRowBandSize w:val="1"/>
      <w:tblStyleColBandSize w:val="1"/>
      <w:tblBorders>
        <w:top w:val="single" w:sz="8" w:space="0" w:color="3AAA35" w:themeColor="accent6"/>
        <w:left w:val="single" w:sz="8" w:space="0" w:color="3AAA35" w:themeColor="accent6"/>
        <w:bottom w:val="single" w:sz="8" w:space="0" w:color="3AAA35" w:themeColor="accent6"/>
        <w:right w:val="single" w:sz="8" w:space="0" w:color="3AAA35" w:themeColor="accent6"/>
        <w:insideH w:val="single" w:sz="8" w:space="0" w:color="3AAA35" w:themeColor="accent6"/>
        <w:insideV w:val="single" w:sz="8" w:space="0" w:color="3AAA35" w:themeColor="accent6"/>
      </w:tblBorders>
    </w:tblPr>
    <w:tcPr>
      <w:shd w:val="clear" w:color="auto" w:fill="CAEEC8" w:themeFill="accent6" w:themeFillTint="3F"/>
    </w:tcPr>
    <w:tblStylePr w:type="firstRow">
      <w:rPr>
        <w:b/>
        <w:bCs/>
        <w:color w:val="30353F" w:themeColor="text1"/>
      </w:rPr>
      <w:tblPr/>
      <w:tcPr>
        <w:shd w:val="clear" w:color="auto" w:fill="E9F8E9" w:themeFill="accent6" w:themeFillTint="19"/>
      </w:tcPr>
    </w:tblStylePr>
    <w:tblStylePr w:type="lastRow">
      <w:rPr>
        <w:b/>
        <w:bCs/>
        <w:color w:val="30353F" w:themeColor="text1"/>
      </w:rPr>
      <w:tblPr/>
      <w:tcPr>
        <w:tcBorders>
          <w:top w:val="single" w:sz="12" w:space="0" w:color="30353F" w:themeColor="text1"/>
          <w:left w:val="nil"/>
          <w:bottom w:val="nil"/>
          <w:right w:val="nil"/>
          <w:insideH w:val="nil"/>
          <w:insideV w:val="nil"/>
        </w:tcBorders>
        <w:shd w:val="clear" w:color="auto" w:fill="FFFFFF" w:themeFill="background1"/>
      </w:tcPr>
    </w:tblStylePr>
    <w:tblStylePr w:type="firstCol">
      <w:rPr>
        <w:b/>
        <w:bCs/>
        <w:color w:val="30353F"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0353F" w:themeColor="text1"/>
      </w:rPr>
      <w:tblPr/>
      <w:tcPr>
        <w:tcBorders>
          <w:top w:val="nil"/>
          <w:left w:val="nil"/>
          <w:bottom w:val="nil"/>
          <w:right w:val="nil"/>
          <w:insideH w:val="nil"/>
          <w:insideV w:val="nil"/>
        </w:tcBorders>
        <w:shd w:val="clear" w:color="auto" w:fill="D4F1D3" w:themeFill="accent6" w:themeFillTint="33"/>
      </w:tcPr>
    </w:tblStylePr>
    <w:tblStylePr w:type="band1Vert">
      <w:tblPr/>
      <w:tcPr>
        <w:shd w:val="clear" w:color="auto" w:fill="94DD92" w:themeFill="accent6" w:themeFillTint="7F"/>
      </w:tcPr>
    </w:tblStylePr>
    <w:tblStylePr w:type="band1Horz">
      <w:tblPr/>
      <w:tcPr>
        <w:tcBorders>
          <w:insideH w:val="single" w:sz="6" w:space="0" w:color="3AAA35" w:themeColor="accent6"/>
          <w:insideV w:val="single" w:sz="6" w:space="0" w:color="3AAA35" w:themeColor="accent6"/>
        </w:tcBorders>
        <w:shd w:val="clear" w:color="auto" w:fill="94DD9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DF245D"/>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7CBD4"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30353F"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30353F"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30353F"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30353F"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E97A9"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E97A9" w:themeFill="text1" w:themeFillTint="7F"/>
      </w:tcPr>
    </w:tblStylePr>
  </w:style>
  <w:style w:type="table" w:styleId="MediumGrid3-Accent1">
    <w:name w:val="Medium Grid 3 Accent 1"/>
    <w:basedOn w:val="TableNormal"/>
    <w:uiPriority w:val="69"/>
    <w:semiHidden/>
    <w:unhideWhenUsed/>
    <w:rsid w:val="00DF245D"/>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1EBFF"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94C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94C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94C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94C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3D7FF"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3D7FF" w:themeFill="accent1" w:themeFillTint="7F"/>
      </w:tcPr>
    </w:tblStylePr>
  </w:style>
  <w:style w:type="table" w:styleId="MediumGrid3-Accent2">
    <w:name w:val="Medium Grid 3 Accent 2"/>
    <w:basedOn w:val="TableNormal"/>
    <w:uiPriority w:val="69"/>
    <w:semiHidden/>
    <w:unhideWhenUsed/>
    <w:rsid w:val="00DF245D"/>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B9DA"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5006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5006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5006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5006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73B5"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73B5" w:themeFill="accent2" w:themeFillTint="7F"/>
      </w:tcPr>
    </w:tblStylePr>
  </w:style>
  <w:style w:type="table" w:styleId="MediumGrid3-Accent3">
    <w:name w:val="Medium Grid 3 Accent 3"/>
    <w:basedOn w:val="TableNormal"/>
    <w:uiPriority w:val="69"/>
    <w:semiHidden/>
    <w:unhideWhenUsed/>
    <w:rsid w:val="00DF245D"/>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FBAEB"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C2276"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C2276"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C2276"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C2276"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74D7"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74D7" w:themeFill="accent3" w:themeFillTint="7F"/>
      </w:tcPr>
    </w:tblStylePr>
  </w:style>
  <w:style w:type="table" w:styleId="MediumGrid3-Accent4">
    <w:name w:val="Medium Grid 3 Accent 4"/>
    <w:basedOn w:val="TableNormal"/>
    <w:uiPriority w:val="69"/>
    <w:semiHidden/>
    <w:unhideWhenUsed/>
    <w:rsid w:val="00DF245D"/>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3AFCF"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B1244"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B1244"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B1244"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B1244"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75E9F"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75E9F" w:themeFill="accent4" w:themeFillTint="7F"/>
      </w:tcPr>
    </w:tblStylePr>
  </w:style>
  <w:style w:type="table" w:styleId="MediumGrid3-Accent5">
    <w:name w:val="Medium Grid 3 Accent 5"/>
    <w:basedOn w:val="TableNormal"/>
    <w:uiPriority w:val="69"/>
    <w:semiHidden/>
    <w:unhideWhenUsed/>
    <w:rsid w:val="00DF245D"/>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1FBB9"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FCA0B"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FCA0B"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FCA0B"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FCA0B"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4F77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4F772" w:themeFill="accent5" w:themeFillTint="7F"/>
      </w:tcPr>
    </w:tblStylePr>
  </w:style>
  <w:style w:type="table" w:styleId="MediumGrid3-Accent6">
    <w:name w:val="Medium Grid 3 Accent 6"/>
    <w:basedOn w:val="TableNormal"/>
    <w:uiPriority w:val="69"/>
    <w:semiHidden/>
    <w:unhideWhenUsed/>
    <w:rsid w:val="00DF245D"/>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AEEC8"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3AAA35"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3AAA35"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3AAA35"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3AAA35"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4DD9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4DD92" w:themeFill="accent6" w:themeFillTint="7F"/>
      </w:tcPr>
    </w:tblStylePr>
  </w:style>
  <w:style w:type="table" w:styleId="MediumList1">
    <w:name w:val="Medium List 1"/>
    <w:basedOn w:val="TableNormal"/>
    <w:uiPriority w:val="65"/>
    <w:semiHidden/>
    <w:unhideWhenUsed/>
    <w:rsid w:val="00DF245D"/>
    <w:pPr>
      <w:spacing w:after="0" w:line="240" w:lineRule="auto"/>
    </w:pPr>
    <w:rPr>
      <w:color w:val="30353F" w:themeColor="text1"/>
    </w:rPr>
    <w:tblPr>
      <w:tblStyleRowBandSize w:val="1"/>
      <w:tblStyleColBandSize w:val="1"/>
      <w:tblBorders>
        <w:top w:val="single" w:sz="8" w:space="0" w:color="30353F" w:themeColor="text1"/>
        <w:bottom w:val="single" w:sz="8" w:space="0" w:color="30353F" w:themeColor="text1"/>
      </w:tblBorders>
    </w:tblPr>
    <w:tblStylePr w:type="firstRow">
      <w:rPr>
        <w:rFonts w:asciiTheme="majorHAnsi" w:eastAsiaTheme="majorEastAsia" w:hAnsiTheme="majorHAnsi" w:cstheme="majorBidi"/>
      </w:rPr>
      <w:tblPr/>
      <w:tcPr>
        <w:tcBorders>
          <w:top w:val="nil"/>
          <w:bottom w:val="single" w:sz="8" w:space="0" w:color="30353F" w:themeColor="text1"/>
        </w:tcBorders>
      </w:tcPr>
    </w:tblStylePr>
    <w:tblStylePr w:type="lastRow">
      <w:rPr>
        <w:b/>
        <w:bCs/>
        <w:color w:val="000000" w:themeColor="text2"/>
      </w:rPr>
      <w:tblPr/>
      <w:tcPr>
        <w:tcBorders>
          <w:top w:val="single" w:sz="8" w:space="0" w:color="30353F" w:themeColor="text1"/>
          <w:bottom w:val="single" w:sz="8" w:space="0" w:color="30353F" w:themeColor="text1"/>
        </w:tcBorders>
      </w:tcPr>
    </w:tblStylePr>
    <w:tblStylePr w:type="firstCol">
      <w:rPr>
        <w:b/>
        <w:bCs/>
      </w:rPr>
    </w:tblStylePr>
    <w:tblStylePr w:type="lastCol">
      <w:rPr>
        <w:b/>
        <w:bCs/>
      </w:rPr>
      <w:tblPr/>
      <w:tcPr>
        <w:tcBorders>
          <w:top w:val="single" w:sz="8" w:space="0" w:color="30353F" w:themeColor="text1"/>
          <w:bottom w:val="single" w:sz="8" w:space="0" w:color="30353F" w:themeColor="text1"/>
        </w:tcBorders>
      </w:tcPr>
    </w:tblStylePr>
    <w:tblStylePr w:type="band1Vert">
      <w:tblPr/>
      <w:tcPr>
        <w:shd w:val="clear" w:color="auto" w:fill="C7CBD4" w:themeFill="text1" w:themeFillTint="3F"/>
      </w:tcPr>
    </w:tblStylePr>
    <w:tblStylePr w:type="band1Horz">
      <w:tblPr/>
      <w:tcPr>
        <w:shd w:val="clear" w:color="auto" w:fill="C7CBD4" w:themeFill="text1" w:themeFillTint="3F"/>
      </w:tcPr>
    </w:tblStylePr>
  </w:style>
  <w:style w:type="table" w:styleId="MediumList1-Accent1">
    <w:name w:val="Medium List 1 Accent 1"/>
    <w:basedOn w:val="TableNormal"/>
    <w:uiPriority w:val="65"/>
    <w:semiHidden/>
    <w:unhideWhenUsed/>
    <w:rsid w:val="00DF245D"/>
    <w:pPr>
      <w:spacing w:after="0" w:line="240" w:lineRule="auto"/>
    </w:pPr>
    <w:rPr>
      <w:color w:val="30353F" w:themeColor="text1"/>
    </w:rPr>
    <w:tblPr>
      <w:tblStyleRowBandSize w:val="1"/>
      <w:tblStyleColBandSize w:val="1"/>
      <w:tblBorders>
        <w:top w:val="single" w:sz="8" w:space="0" w:color="0094C5" w:themeColor="accent1"/>
        <w:bottom w:val="single" w:sz="8" w:space="0" w:color="0094C5" w:themeColor="accent1"/>
      </w:tblBorders>
    </w:tblPr>
    <w:tblStylePr w:type="firstRow">
      <w:rPr>
        <w:rFonts w:asciiTheme="majorHAnsi" w:eastAsiaTheme="majorEastAsia" w:hAnsiTheme="majorHAnsi" w:cstheme="majorBidi"/>
      </w:rPr>
      <w:tblPr/>
      <w:tcPr>
        <w:tcBorders>
          <w:top w:val="nil"/>
          <w:bottom w:val="single" w:sz="8" w:space="0" w:color="0094C5" w:themeColor="accent1"/>
        </w:tcBorders>
      </w:tcPr>
    </w:tblStylePr>
    <w:tblStylePr w:type="lastRow">
      <w:rPr>
        <w:b/>
        <w:bCs/>
        <w:color w:val="000000" w:themeColor="text2"/>
      </w:rPr>
      <w:tblPr/>
      <w:tcPr>
        <w:tcBorders>
          <w:top w:val="single" w:sz="8" w:space="0" w:color="0094C5" w:themeColor="accent1"/>
          <w:bottom w:val="single" w:sz="8" w:space="0" w:color="0094C5" w:themeColor="accent1"/>
        </w:tcBorders>
      </w:tcPr>
    </w:tblStylePr>
    <w:tblStylePr w:type="firstCol">
      <w:rPr>
        <w:b/>
        <w:bCs/>
      </w:rPr>
    </w:tblStylePr>
    <w:tblStylePr w:type="lastCol">
      <w:rPr>
        <w:b/>
        <w:bCs/>
      </w:rPr>
      <w:tblPr/>
      <w:tcPr>
        <w:tcBorders>
          <w:top w:val="single" w:sz="8" w:space="0" w:color="0094C5" w:themeColor="accent1"/>
          <w:bottom w:val="single" w:sz="8" w:space="0" w:color="0094C5" w:themeColor="accent1"/>
        </w:tcBorders>
      </w:tcPr>
    </w:tblStylePr>
    <w:tblStylePr w:type="band1Vert">
      <w:tblPr/>
      <w:tcPr>
        <w:shd w:val="clear" w:color="auto" w:fill="B1EBFF" w:themeFill="accent1" w:themeFillTint="3F"/>
      </w:tcPr>
    </w:tblStylePr>
    <w:tblStylePr w:type="band1Horz">
      <w:tblPr/>
      <w:tcPr>
        <w:shd w:val="clear" w:color="auto" w:fill="B1EBFF" w:themeFill="accent1" w:themeFillTint="3F"/>
      </w:tcPr>
    </w:tblStylePr>
  </w:style>
  <w:style w:type="table" w:styleId="MediumList1-Accent2">
    <w:name w:val="Medium List 1 Accent 2"/>
    <w:basedOn w:val="TableNormal"/>
    <w:uiPriority w:val="65"/>
    <w:semiHidden/>
    <w:unhideWhenUsed/>
    <w:rsid w:val="00DF245D"/>
    <w:pPr>
      <w:spacing w:after="0" w:line="240" w:lineRule="auto"/>
    </w:pPr>
    <w:rPr>
      <w:color w:val="30353F" w:themeColor="text1"/>
    </w:rPr>
    <w:tblPr>
      <w:tblStyleRowBandSize w:val="1"/>
      <w:tblStyleColBandSize w:val="1"/>
      <w:tblBorders>
        <w:top w:val="single" w:sz="8" w:space="0" w:color="E5006D" w:themeColor="accent2"/>
        <w:bottom w:val="single" w:sz="8" w:space="0" w:color="E5006D" w:themeColor="accent2"/>
      </w:tblBorders>
    </w:tblPr>
    <w:tblStylePr w:type="firstRow">
      <w:rPr>
        <w:rFonts w:asciiTheme="majorHAnsi" w:eastAsiaTheme="majorEastAsia" w:hAnsiTheme="majorHAnsi" w:cstheme="majorBidi"/>
      </w:rPr>
      <w:tblPr/>
      <w:tcPr>
        <w:tcBorders>
          <w:top w:val="nil"/>
          <w:bottom w:val="single" w:sz="8" w:space="0" w:color="E5006D" w:themeColor="accent2"/>
        </w:tcBorders>
      </w:tcPr>
    </w:tblStylePr>
    <w:tblStylePr w:type="lastRow">
      <w:rPr>
        <w:b/>
        <w:bCs/>
        <w:color w:val="000000" w:themeColor="text2"/>
      </w:rPr>
      <w:tblPr/>
      <w:tcPr>
        <w:tcBorders>
          <w:top w:val="single" w:sz="8" w:space="0" w:color="E5006D" w:themeColor="accent2"/>
          <w:bottom w:val="single" w:sz="8" w:space="0" w:color="E5006D" w:themeColor="accent2"/>
        </w:tcBorders>
      </w:tcPr>
    </w:tblStylePr>
    <w:tblStylePr w:type="firstCol">
      <w:rPr>
        <w:b/>
        <w:bCs/>
      </w:rPr>
    </w:tblStylePr>
    <w:tblStylePr w:type="lastCol">
      <w:rPr>
        <w:b/>
        <w:bCs/>
      </w:rPr>
      <w:tblPr/>
      <w:tcPr>
        <w:tcBorders>
          <w:top w:val="single" w:sz="8" w:space="0" w:color="E5006D" w:themeColor="accent2"/>
          <w:bottom w:val="single" w:sz="8" w:space="0" w:color="E5006D" w:themeColor="accent2"/>
        </w:tcBorders>
      </w:tcPr>
    </w:tblStylePr>
    <w:tblStylePr w:type="band1Vert">
      <w:tblPr/>
      <w:tcPr>
        <w:shd w:val="clear" w:color="auto" w:fill="FFB9DA" w:themeFill="accent2" w:themeFillTint="3F"/>
      </w:tcPr>
    </w:tblStylePr>
    <w:tblStylePr w:type="band1Horz">
      <w:tblPr/>
      <w:tcPr>
        <w:shd w:val="clear" w:color="auto" w:fill="FFB9DA" w:themeFill="accent2" w:themeFillTint="3F"/>
      </w:tcPr>
    </w:tblStylePr>
  </w:style>
  <w:style w:type="table" w:styleId="MediumList1-Accent3">
    <w:name w:val="Medium List 1 Accent 3"/>
    <w:basedOn w:val="TableNormal"/>
    <w:uiPriority w:val="65"/>
    <w:semiHidden/>
    <w:unhideWhenUsed/>
    <w:rsid w:val="00DF245D"/>
    <w:pPr>
      <w:spacing w:after="0" w:line="240" w:lineRule="auto"/>
    </w:pPr>
    <w:rPr>
      <w:color w:val="30353F" w:themeColor="text1"/>
    </w:rPr>
    <w:tblPr>
      <w:tblStyleRowBandSize w:val="1"/>
      <w:tblStyleColBandSize w:val="1"/>
      <w:tblBorders>
        <w:top w:val="single" w:sz="8" w:space="0" w:color="2C2276" w:themeColor="accent3"/>
        <w:bottom w:val="single" w:sz="8" w:space="0" w:color="2C2276" w:themeColor="accent3"/>
      </w:tblBorders>
    </w:tblPr>
    <w:tblStylePr w:type="firstRow">
      <w:rPr>
        <w:rFonts w:asciiTheme="majorHAnsi" w:eastAsiaTheme="majorEastAsia" w:hAnsiTheme="majorHAnsi" w:cstheme="majorBidi"/>
      </w:rPr>
      <w:tblPr/>
      <w:tcPr>
        <w:tcBorders>
          <w:top w:val="nil"/>
          <w:bottom w:val="single" w:sz="8" w:space="0" w:color="2C2276" w:themeColor="accent3"/>
        </w:tcBorders>
      </w:tcPr>
    </w:tblStylePr>
    <w:tblStylePr w:type="lastRow">
      <w:rPr>
        <w:b/>
        <w:bCs/>
        <w:color w:val="000000" w:themeColor="text2"/>
      </w:rPr>
      <w:tblPr/>
      <w:tcPr>
        <w:tcBorders>
          <w:top w:val="single" w:sz="8" w:space="0" w:color="2C2276" w:themeColor="accent3"/>
          <w:bottom w:val="single" w:sz="8" w:space="0" w:color="2C2276" w:themeColor="accent3"/>
        </w:tcBorders>
      </w:tcPr>
    </w:tblStylePr>
    <w:tblStylePr w:type="firstCol">
      <w:rPr>
        <w:b/>
        <w:bCs/>
      </w:rPr>
    </w:tblStylePr>
    <w:tblStylePr w:type="lastCol">
      <w:rPr>
        <w:b/>
        <w:bCs/>
      </w:rPr>
      <w:tblPr/>
      <w:tcPr>
        <w:tcBorders>
          <w:top w:val="single" w:sz="8" w:space="0" w:color="2C2276" w:themeColor="accent3"/>
          <w:bottom w:val="single" w:sz="8" w:space="0" w:color="2C2276" w:themeColor="accent3"/>
        </w:tcBorders>
      </w:tcPr>
    </w:tblStylePr>
    <w:tblStylePr w:type="band1Vert">
      <w:tblPr/>
      <w:tcPr>
        <w:shd w:val="clear" w:color="auto" w:fill="BFBAEB" w:themeFill="accent3" w:themeFillTint="3F"/>
      </w:tcPr>
    </w:tblStylePr>
    <w:tblStylePr w:type="band1Horz">
      <w:tblPr/>
      <w:tcPr>
        <w:shd w:val="clear" w:color="auto" w:fill="BFBAEB" w:themeFill="accent3" w:themeFillTint="3F"/>
      </w:tcPr>
    </w:tblStylePr>
  </w:style>
  <w:style w:type="table" w:styleId="MediumList1-Accent4">
    <w:name w:val="Medium List 1 Accent 4"/>
    <w:basedOn w:val="TableNormal"/>
    <w:uiPriority w:val="65"/>
    <w:semiHidden/>
    <w:unhideWhenUsed/>
    <w:rsid w:val="00DF245D"/>
    <w:pPr>
      <w:spacing w:after="0" w:line="240" w:lineRule="auto"/>
    </w:pPr>
    <w:rPr>
      <w:color w:val="30353F" w:themeColor="text1"/>
    </w:rPr>
    <w:tblPr>
      <w:tblStyleRowBandSize w:val="1"/>
      <w:tblStyleColBandSize w:val="1"/>
      <w:tblBorders>
        <w:top w:val="single" w:sz="8" w:space="0" w:color="7B1244" w:themeColor="accent4"/>
        <w:bottom w:val="single" w:sz="8" w:space="0" w:color="7B1244" w:themeColor="accent4"/>
      </w:tblBorders>
    </w:tblPr>
    <w:tblStylePr w:type="firstRow">
      <w:rPr>
        <w:rFonts w:asciiTheme="majorHAnsi" w:eastAsiaTheme="majorEastAsia" w:hAnsiTheme="majorHAnsi" w:cstheme="majorBidi"/>
      </w:rPr>
      <w:tblPr/>
      <w:tcPr>
        <w:tcBorders>
          <w:top w:val="nil"/>
          <w:bottom w:val="single" w:sz="8" w:space="0" w:color="7B1244" w:themeColor="accent4"/>
        </w:tcBorders>
      </w:tcPr>
    </w:tblStylePr>
    <w:tblStylePr w:type="lastRow">
      <w:rPr>
        <w:b/>
        <w:bCs/>
        <w:color w:val="000000" w:themeColor="text2"/>
      </w:rPr>
      <w:tblPr/>
      <w:tcPr>
        <w:tcBorders>
          <w:top w:val="single" w:sz="8" w:space="0" w:color="7B1244" w:themeColor="accent4"/>
          <w:bottom w:val="single" w:sz="8" w:space="0" w:color="7B1244" w:themeColor="accent4"/>
        </w:tcBorders>
      </w:tcPr>
    </w:tblStylePr>
    <w:tblStylePr w:type="firstCol">
      <w:rPr>
        <w:b/>
        <w:bCs/>
      </w:rPr>
    </w:tblStylePr>
    <w:tblStylePr w:type="lastCol">
      <w:rPr>
        <w:b/>
        <w:bCs/>
      </w:rPr>
      <w:tblPr/>
      <w:tcPr>
        <w:tcBorders>
          <w:top w:val="single" w:sz="8" w:space="0" w:color="7B1244" w:themeColor="accent4"/>
          <w:bottom w:val="single" w:sz="8" w:space="0" w:color="7B1244" w:themeColor="accent4"/>
        </w:tcBorders>
      </w:tcPr>
    </w:tblStylePr>
    <w:tblStylePr w:type="band1Vert">
      <w:tblPr/>
      <w:tcPr>
        <w:shd w:val="clear" w:color="auto" w:fill="F3AFCF" w:themeFill="accent4" w:themeFillTint="3F"/>
      </w:tcPr>
    </w:tblStylePr>
    <w:tblStylePr w:type="band1Horz">
      <w:tblPr/>
      <w:tcPr>
        <w:shd w:val="clear" w:color="auto" w:fill="F3AFCF" w:themeFill="accent4" w:themeFillTint="3F"/>
      </w:tcPr>
    </w:tblStylePr>
  </w:style>
  <w:style w:type="table" w:styleId="MediumList1-Accent5">
    <w:name w:val="Medium List 1 Accent 5"/>
    <w:basedOn w:val="TableNormal"/>
    <w:uiPriority w:val="65"/>
    <w:semiHidden/>
    <w:unhideWhenUsed/>
    <w:rsid w:val="00DF245D"/>
    <w:pPr>
      <w:spacing w:after="0" w:line="240" w:lineRule="auto"/>
    </w:pPr>
    <w:rPr>
      <w:color w:val="30353F" w:themeColor="text1"/>
    </w:rPr>
    <w:tblPr>
      <w:tblStyleRowBandSize w:val="1"/>
      <w:tblStyleColBandSize w:val="1"/>
      <w:tblBorders>
        <w:top w:val="single" w:sz="8" w:space="0" w:color="AFCA0B" w:themeColor="accent5"/>
        <w:bottom w:val="single" w:sz="8" w:space="0" w:color="AFCA0B" w:themeColor="accent5"/>
      </w:tblBorders>
    </w:tblPr>
    <w:tblStylePr w:type="firstRow">
      <w:rPr>
        <w:rFonts w:asciiTheme="majorHAnsi" w:eastAsiaTheme="majorEastAsia" w:hAnsiTheme="majorHAnsi" w:cstheme="majorBidi"/>
      </w:rPr>
      <w:tblPr/>
      <w:tcPr>
        <w:tcBorders>
          <w:top w:val="nil"/>
          <w:bottom w:val="single" w:sz="8" w:space="0" w:color="AFCA0B" w:themeColor="accent5"/>
        </w:tcBorders>
      </w:tcPr>
    </w:tblStylePr>
    <w:tblStylePr w:type="lastRow">
      <w:rPr>
        <w:b/>
        <w:bCs/>
        <w:color w:val="000000" w:themeColor="text2"/>
      </w:rPr>
      <w:tblPr/>
      <w:tcPr>
        <w:tcBorders>
          <w:top w:val="single" w:sz="8" w:space="0" w:color="AFCA0B" w:themeColor="accent5"/>
          <w:bottom w:val="single" w:sz="8" w:space="0" w:color="AFCA0B" w:themeColor="accent5"/>
        </w:tcBorders>
      </w:tcPr>
    </w:tblStylePr>
    <w:tblStylePr w:type="firstCol">
      <w:rPr>
        <w:b/>
        <w:bCs/>
      </w:rPr>
    </w:tblStylePr>
    <w:tblStylePr w:type="lastCol">
      <w:rPr>
        <w:b/>
        <w:bCs/>
      </w:rPr>
      <w:tblPr/>
      <w:tcPr>
        <w:tcBorders>
          <w:top w:val="single" w:sz="8" w:space="0" w:color="AFCA0B" w:themeColor="accent5"/>
          <w:bottom w:val="single" w:sz="8" w:space="0" w:color="AFCA0B" w:themeColor="accent5"/>
        </w:tcBorders>
      </w:tcPr>
    </w:tblStylePr>
    <w:tblStylePr w:type="band1Vert">
      <w:tblPr/>
      <w:tcPr>
        <w:shd w:val="clear" w:color="auto" w:fill="F1FBB9" w:themeFill="accent5" w:themeFillTint="3F"/>
      </w:tcPr>
    </w:tblStylePr>
    <w:tblStylePr w:type="band1Horz">
      <w:tblPr/>
      <w:tcPr>
        <w:shd w:val="clear" w:color="auto" w:fill="F1FBB9" w:themeFill="accent5" w:themeFillTint="3F"/>
      </w:tcPr>
    </w:tblStylePr>
  </w:style>
  <w:style w:type="table" w:styleId="MediumList1-Accent6">
    <w:name w:val="Medium List 1 Accent 6"/>
    <w:basedOn w:val="TableNormal"/>
    <w:uiPriority w:val="65"/>
    <w:semiHidden/>
    <w:unhideWhenUsed/>
    <w:rsid w:val="00DF245D"/>
    <w:pPr>
      <w:spacing w:after="0" w:line="240" w:lineRule="auto"/>
    </w:pPr>
    <w:rPr>
      <w:color w:val="30353F" w:themeColor="text1"/>
    </w:rPr>
    <w:tblPr>
      <w:tblStyleRowBandSize w:val="1"/>
      <w:tblStyleColBandSize w:val="1"/>
      <w:tblBorders>
        <w:top w:val="single" w:sz="8" w:space="0" w:color="3AAA35" w:themeColor="accent6"/>
        <w:bottom w:val="single" w:sz="8" w:space="0" w:color="3AAA35" w:themeColor="accent6"/>
      </w:tblBorders>
    </w:tblPr>
    <w:tblStylePr w:type="firstRow">
      <w:rPr>
        <w:rFonts w:asciiTheme="majorHAnsi" w:eastAsiaTheme="majorEastAsia" w:hAnsiTheme="majorHAnsi" w:cstheme="majorBidi"/>
      </w:rPr>
      <w:tblPr/>
      <w:tcPr>
        <w:tcBorders>
          <w:top w:val="nil"/>
          <w:bottom w:val="single" w:sz="8" w:space="0" w:color="3AAA35" w:themeColor="accent6"/>
        </w:tcBorders>
      </w:tcPr>
    </w:tblStylePr>
    <w:tblStylePr w:type="lastRow">
      <w:rPr>
        <w:b/>
        <w:bCs/>
        <w:color w:val="000000" w:themeColor="text2"/>
      </w:rPr>
      <w:tblPr/>
      <w:tcPr>
        <w:tcBorders>
          <w:top w:val="single" w:sz="8" w:space="0" w:color="3AAA35" w:themeColor="accent6"/>
          <w:bottom w:val="single" w:sz="8" w:space="0" w:color="3AAA35" w:themeColor="accent6"/>
        </w:tcBorders>
      </w:tcPr>
    </w:tblStylePr>
    <w:tblStylePr w:type="firstCol">
      <w:rPr>
        <w:b/>
        <w:bCs/>
      </w:rPr>
    </w:tblStylePr>
    <w:tblStylePr w:type="lastCol">
      <w:rPr>
        <w:b/>
        <w:bCs/>
      </w:rPr>
      <w:tblPr/>
      <w:tcPr>
        <w:tcBorders>
          <w:top w:val="single" w:sz="8" w:space="0" w:color="3AAA35" w:themeColor="accent6"/>
          <w:bottom w:val="single" w:sz="8" w:space="0" w:color="3AAA35" w:themeColor="accent6"/>
        </w:tcBorders>
      </w:tcPr>
    </w:tblStylePr>
    <w:tblStylePr w:type="band1Vert">
      <w:tblPr/>
      <w:tcPr>
        <w:shd w:val="clear" w:color="auto" w:fill="CAEEC8" w:themeFill="accent6" w:themeFillTint="3F"/>
      </w:tcPr>
    </w:tblStylePr>
    <w:tblStylePr w:type="band1Horz">
      <w:tblPr/>
      <w:tcPr>
        <w:shd w:val="clear" w:color="auto" w:fill="CAEEC8" w:themeFill="accent6" w:themeFillTint="3F"/>
      </w:tcPr>
    </w:tblStylePr>
  </w:style>
  <w:style w:type="table" w:styleId="MediumList2">
    <w:name w:val="Medium List 2"/>
    <w:basedOn w:val="TableNormal"/>
    <w:uiPriority w:val="66"/>
    <w:semiHidden/>
    <w:unhideWhenUsed/>
    <w:rsid w:val="00DF245D"/>
    <w:pPr>
      <w:spacing w:after="0" w:line="240" w:lineRule="auto"/>
    </w:pPr>
    <w:rPr>
      <w:rFonts w:asciiTheme="majorHAnsi" w:eastAsiaTheme="majorEastAsia" w:hAnsiTheme="majorHAnsi" w:cstheme="majorBidi"/>
      <w:color w:val="30353F" w:themeColor="text1"/>
    </w:rPr>
    <w:tblPr>
      <w:tblStyleRowBandSize w:val="1"/>
      <w:tblStyleColBandSize w:val="1"/>
      <w:tblBorders>
        <w:top w:val="single" w:sz="8" w:space="0" w:color="30353F" w:themeColor="text1"/>
        <w:left w:val="single" w:sz="8" w:space="0" w:color="30353F" w:themeColor="text1"/>
        <w:bottom w:val="single" w:sz="8" w:space="0" w:color="30353F" w:themeColor="text1"/>
        <w:right w:val="single" w:sz="8" w:space="0" w:color="30353F" w:themeColor="text1"/>
      </w:tblBorders>
    </w:tblPr>
    <w:tblStylePr w:type="firstRow">
      <w:rPr>
        <w:sz w:val="24"/>
        <w:szCs w:val="24"/>
      </w:rPr>
      <w:tblPr/>
      <w:tcPr>
        <w:tcBorders>
          <w:top w:val="nil"/>
          <w:left w:val="nil"/>
          <w:bottom w:val="single" w:sz="24" w:space="0" w:color="30353F" w:themeColor="text1"/>
          <w:right w:val="nil"/>
          <w:insideH w:val="nil"/>
          <w:insideV w:val="nil"/>
        </w:tcBorders>
        <w:shd w:val="clear" w:color="auto" w:fill="FFFFFF" w:themeFill="background1"/>
      </w:tcPr>
    </w:tblStylePr>
    <w:tblStylePr w:type="lastRow">
      <w:tblPr/>
      <w:tcPr>
        <w:tcBorders>
          <w:top w:val="single" w:sz="8" w:space="0" w:color="30353F"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30353F" w:themeColor="text1"/>
          <w:insideH w:val="nil"/>
          <w:insideV w:val="nil"/>
        </w:tcBorders>
        <w:shd w:val="clear" w:color="auto" w:fill="FFFFFF" w:themeFill="background1"/>
      </w:tcPr>
    </w:tblStylePr>
    <w:tblStylePr w:type="lastCol">
      <w:tblPr/>
      <w:tcPr>
        <w:tcBorders>
          <w:top w:val="nil"/>
          <w:left w:val="single" w:sz="8" w:space="0" w:color="30353F"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7CBD4" w:themeFill="text1" w:themeFillTint="3F"/>
      </w:tcPr>
    </w:tblStylePr>
    <w:tblStylePr w:type="band1Horz">
      <w:tblPr/>
      <w:tcPr>
        <w:tcBorders>
          <w:top w:val="nil"/>
          <w:bottom w:val="nil"/>
          <w:insideH w:val="nil"/>
          <w:insideV w:val="nil"/>
        </w:tcBorders>
        <w:shd w:val="clear" w:color="auto" w:fill="C7CBD4"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DF245D"/>
    <w:pPr>
      <w:spacing w:after="0" w:line="240" w:lineRule="auto"/>
    </w:pPr>
    <w:rPr>
      <w:rFonts w:asciiTheme="majorHAnsi" w:eastAsiaTheme="majorEastAsia" w:hAnsiTheme="majorHAnsi" w:cstheme="majorBidi"/>
      <w:color w:val="30353F" w:themeColor="text1"/>
    </w:rPr>
    <w:tblPr>
      <w:tblStyleRowBandSize w:val="1"/>
      <w:tblStyleColBandSize w:val="1"/>
      <w:tblBorders>
        <w:top w:val="single" w:sz="8" w:space="0" w:color="0094C5" w:themeColor="accent1"/>
        <w:left w:val="single" w:sz="8" w:space="0" w:color="0094C5" w:themeColor="accent1"/>
        <w:bottom w:val="single" w:sz="8" w:space="0" w:color="0094C5" w:themeColor="accent1"/>
        <w:right w:val="single" w:sz="8" w:space="0" w:color="0094C5" w:themeColor="accent1"/>
      </w:tblBorders>
    </w:tblPr>
    <w:tblStylePr w:type="firstRow">
      <w:rPr>
        <w:sz w:val="24"/>
        <w:szCs w:val="24"/>
      </w:rPr>
      <w:tblPr/>
      <w:tcPr>
        <w:tcBorders>
          <w:top w:val="nil"/>
          <w:left w:val="nil"/>
          <w:bottom w:val="single" w:sz="24" w:space="0" w:color="0094C5" w:themeColor="accent1"/>
          <w:right w:val="nil"/>
          <w:insideH w:val="nil"/>
          <w:insideV w:val="nil"/>
        </w:tcBorders>
        <w:shd w:val="clear" w:color="auto" w:fill="FFFFFF" w:themeFill="background1"/>
      </w:tcPr>
    </w:tblStylePr>
    <w:tblStylePr w:type="lastRow">
      <w:tblPr/>
      <w:tcPr>
        <w:tcBorders>
          <w:top w:val="single" w:sz="8" w:space="0" w:color="0094C5"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94C5" w:themeColor="accent1"/>
          <w:insideH w:val="nil"/>
          <w:insideV w:val="nil"/>
        </w:tcBorders>
        <w:shd w:val="clear" w:color="auto" w:fill="FFFFFF" w:themeFill="background1"/>
      </w:tcPr>
    </w:tblStylePr>
    <w:tblStylePr w:type="lastCol">
      <w:tblPr/>
      <w:tcPr>
        <w:tcBorders>
          <w:top w:val="nil"/>
          <w:left w:val="single" w:sz="8" w:space="0" w:color="0094C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1EBFF" w:themeFill="accent1" w:themeFillTint="3F"/>
      </w:tcPr>
    </w:tblStylePr>
    <w:tblStylePr w:type="band1Horz">
      <w:tblPr/>
      <w:tcPr>
        <w:tcBorders>
          <w:top w:val="nil"/>
          <w:bottom w:val="nil"/>
          <w:insideH w:val="nil"/>
          <w:insideV w:val="nil"/>
        </w:tcBorders>
        <w:shd w:val="clear" w:color="auto" w:fill="B1EBFF"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DF245D"/>
    <w:pPr>
      <w:spacing w:after="0" w:line="240" w:lineRule="auto"/>
    </w:pPr>
    <w:rPr>
      <w:rFonts w:asciiTheme="majorHAnsi" w:eastAsiaTheme="majorEastAsia" w:hAnsiTheme="majorHAnsi" w:cstheme="majorBidi"/>
      <w:color w:val="30353F" w:themeColor="text1"/>
    </w:rPr>
    <w:tblPr>
      <w:tblStyleRowBandSize w:val="1"/>
      <w:tblStyleColBandSize w:val="1"/>
      <w:tblBorders>
        <w:top w:val="single" w:sz="8" w:space="0" w:color="E5006D" w:themeColor="accent2"/>
        <w:left w:val="single" w:sz="8" w:space="0" w:color="E5006D" w:themeColor="accent2"/>
        <w:bottom w:val="single" w:sz="8" w:space="0" w:color="E5006D" w:themeColor="accent2"/>
        <w:right w:val="single" w:sz="8" w:space="0" w:color="E5006D" w:themeColor="accent2"/>
      </w:tblBorders>
    </w:tblPr>
    <w:tblStylePr w:type="firstRow">
      <w:rPr>
        <w:sz w:val="24"/>
        <w:szCs w:val="24"/>
      </w:rPr>
      <w:tblPr/>
      <w:tcPr>
        <w:tcBorders>
          <w:top w:val="nil"/>
          <w:left w:val="nil"/>
          <w:bottom w:val="single" w:sz="24" w:space="0" w:color="E5006D" w:themeColor="accent2"/>
          <w:right w:val="nil"/>
          <w:insideH w:val="nil"/>
          <w:insideV w:val="nil"/>
        </w:tcBorders>
        <w:shd w:val="clear" w:color="auto" w:fill="FFFFFF" w:themeFill="background1"/>
      </w:tcPr>
    </w:tblStylePr>
    <w:tblStylePr w:type="lastRow">
      <w:tblPr/>
      <w:tcPr>
        <w:tcBorders>
          <w:top w:val="single" w:sz="8" w:space="0" w:color="E5006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5006D" w:themeColor="accent2"/>
          <w:insideH w:val="nil"/>
          <w:insideV w:val="nil"/>
        </w:tcBorders>
        <w:shd w:val="clear" w:color="auto" w:fill="FFFFFF" w:themeFill="background1"/>
      </w:tcPr>
    </w:tblStylePr>
    <w:tblStylePr w:type="lastCol">
      <w:tblPr/>
      <w:tcPr>
        <w:tcBorders>
          <w:top w:val="nil"/>
          <w:left w:val="single" w:sz="8" w:space="0" w:color="E5006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B9DA" w:themeFill="accent2" w:themeFillTint="3F"/>
      </w:tcPr>
    </w:tblStylePr>
    <w:tblStylePr w:type="band1Horz">
      <w:tblPr/>
      <w:tcPr>
        <w:tcBorders>
          <w:top w:val="nil"/>
          <w:bottom w:val="nil"/>
          <w:insideH w:val="nil"/>
          <w:insideV w:val="nil"/>
        </w:tcBorders>
        <w:shd w:val="clear" w:color="auto" w:fill="FFB9DA"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DF245D"/>
    <w:pPr>
      <w:spacing w:after="0" w:line="240" w:lineRule="auto"/>
    </w:pPr>
    <w:rPr>
      <w:rFonts w:asciiTheme="majorHAnsi" w:eastAsiaTheme="majorEastAsia" w:hAnsiTheme="majorHAnsi" w:cstheme="majorBidi"/>
      <w:color w:val="30353F" w:themeColor="text1"/>
    </w:rPr>
    <w:tblPr>
      <w:tblStyleRowBandSize w:val="1"/>
      <w:tblStyleColBandSize w:val="1"/>
      <w:tblBorders>
        <w:top w:val="single" w:sz="8" w:space="0" w:color="2C2276" w:themeColor="accent3"/>
        <w:left w:val="single" w:sz="8" w:space="0" w:color="2C2276" w:themeColor="accent3"/>
        <w:bottom w:val="single" w:sz="8" w:space="0" w:color="2C2276" w:themeColor="accent3"/>
        <w:right w:val="single" w:sz="8" w:space="0" w:color="2C2276" w:themeColor="accent3"/>
      </w:tblBorders>
    </w:tblPr>
    <w:tblStylePr w:type="firstRow">
      <w:rPr>
        <w:sz w:val="24"/>
        <w:szCs w:val="24"/>
      </w:rPr>
      <w:tblPr/>
      <w:tcPr>
        <w:tcBorders>
          <w:top w:val="nil"/>
          <w:left w:val="nil"/>
          <w:bottom w:val="single" w:sz="24" w:space="0" w:color="2C2276" w:themeColor="accent3"/>
          <w:right w:val="nil"/>
          <w:insideH w:val="nil"/>
          <w:insideV w:val="nil"/>
        </w:tcBorders>
        <w:shd w:val="clear" w:color="auto" w:fill="FFFFFF" w:themeFill="background1"/>
      </w:tcPr>
    </w:tblStylePr>
    <w:tblStylePr w:type="lastRow">
      <w:tblPr/>
      <w:tcPr>
        <w:tcBorders>
          <w:top w:val="single" w:sz="8" w:space="0" w:color="2C2276"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C2276" w:themeColor="accent3"/>
          <w:insideH w:val="nil"/>
          <w:insideV w:val="nil"/>
        </w:tcBorders>
        <w:shd w:val="clear" w:color="auto" w:fill="FFFFFF" w:themeFill="background1"/>
      </w:tcPr>
    </w:tblStylePr>
    <w:tblStylePr w:type="lastCol">
      <w:tblPr/>
      <w:tcPr>
        <w:tcBorders>
          <w:top w:val="nil"/>
          <w:left w:val="single" w:sz="8" w:space="0" w:color="2C2276"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FBAEB" w:themeFill="accent3" w:themeFillTint="3F"/>
      </w:tcPr>
    </w:tblStylePr>
    <w:tblStylePr w:type="band1Horz">
      <w:tblPr/>
      <w:tcPr>
        <w:tcBorders>
          <w:top w:val="nil"/>
          <w:bottom w:val="nil"/>
          <w:insideH w:val="nil"/>
          <w:insideV w:val="nil"/>
        </w:tcBorders>
        <w:shd w:val="clear" w:color="auto" w:fill="BFBAEB"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DF245D"/>
    <w:pPr>
      <w:spacing w:after="0" w:line="240" w:lineRule="auto"/>
    </w:pPr>
    <w:rPr>
      <w:rFonts w:asciiTheme="majorHAnsi" w:eastAsiaTheme="majorEastAsia" w:hAnsiTheme="majorHAnsi" w:cstheme="majorBidi"/>
      <w:color w:val="30353F" w:themeColor="text1"/>
    </w:rPr>
    <w:tblPr>
      <w:tblStyleRowBandSize w:val="1"/>
      <w:tblStyleColBandSize w:val="1"/>
      <w:tblBorders>
        <w:top w:val="single" w:sz="8" w:space="0" w:color="7B1244" w:themeColor="accent4"/>
        <w:left w:val="single" w:sz="8" w:space="0" w:color="7B1244" w:themeColor="accent4"/>
        <w:bottom w:val="single" w:sz="8" w:space="0" w:color="7B1244" w:themeColor="accent4"/>
        <w:right w:val="single" w:sz="8" w:space="0" w:color="7B1244" w:themeColor="accent4"/>
      </w:tblBorders>
    </w:tblPr>
    <w:tblStylePr w:type="firstRow">
      <w:rPr>
        <w:sz w:val="24"/>
        <w:szCs w:val="24"/>
      </w:rPr>
      <w:tblPr/>
      <w:tcPr>
        <w:tcBorders>
          <w:top w:val="nil"/>
          <w:left w:val="nil"/>
          <w:bottom w:val="single" w:sz="24" w:space="0" w:color="7B1244" w:themeColor="accent4"/>
          <w:right w:val="nil"/>
          <w:insideH w:val="nil"/>
          <w:insideV w:val="nil"/>
        </w:tcBorders>
        <w:shd w:val="clear" w:color="auto" w:fill="FFFFFF" w:themeFill="background1"/>
      </w:tcPr>
    </w:tblStylePr>
    <w:tblStylePr w:type="lastRow">
      <w:tblPr/>
      <w:tcPr>
        <w:tcBorders>
          <w:top w:val="single" w:sz="8" w:space="0" w:color="7B1244"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B1244" w:themeColor="accent4"/>
          <w:insideH w:val="nil"/>
          <w:insideV w:val="nil"/>
        </w:tcBorders>
        <w:shd w:val="clear" w:color="auto" w:fill="FFFFFF" w:themeFill="background1"/>
      </w:tcPr>
    </w:tblStylePr>
    <w:tblStylePr w:type="lastCol">
      <w:tblPr/>
      <w:tcPr>
        <w:tcBorders>
          <w:top w:val="nil"/>
          <w:left w:val="single" w:sz="8" w:space="0" w:color="7B1244"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3AFCF" w:themeFill="accent4" w:themeFillTint="3F"/>
      </w:tcPr>
    </w:tblStylePr>
    <w:tblStylePr w:type="band1Horz">
      <w:tblPr/>
      <w:tcPr>
        <w:tcBorders>
          <w:top w:val="nil"/>
          <w:bottom w:val="nil"/>
          <w:insideH w:val="nil"/>
          <w:insideV w:val="nil"/>
        </w:tcBorders>
        <w:shd w:val="clear" w:color="auto" w:fill="F3AFCF"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DF245D"/>
    <w:pPr>
      <w:spacing w:after="0" w:line="240" w:lineRule="auto"/>
    </w:pPr>
    <w:rPr>
      <w:rFonts w:asciiTheme="majorHAnsi" w:eastAsiaTheme="majorEastAsia" w:hAnsiTheme="majorHAnsi" w:cstheme="majorBidi"/>
      <w:color w:val="30353F" w:themeColor="text1"/>
    </w:rPr>
    <w:tblPr>
      <w:tblStyleRowBandSize w:val="1"/>
      <w:tblStyleColBandSize w:val="1"/>
      <w:tblBorders>
        <w:top w:val="single" w:sz="8" w:space="0" w:color="AFCA0B" w:themeColor="accent5"/>
        <w:left w:val="single" w:sz="8" w:space="0" w:color="AFCA0B" w:themeColor="accent5"/>
        <w:bottom w:val="single" w:sz="8" w:space="0" w:color="AFCA0B" w:themeColor="accent5"/>
        <w:right w:val="single" w:sz="8" w:space="0" w:color="AFCA0B" w:themeColor="accent5"/>
      </w:tblBorders>
    </w:tblPr>
    <w:tblStylePr w:type="firstRow">
      <w:rPr>
        <w:sz w:val="24"/>
        <w:szCs w:val="24"/>
      </w:rPr>
      <w:tblPr/>
      <w:tcPr>
        <w:tcBorders>
          <w:top w:val="nil"/>
          <w:left w:val="nil"/>
          <w:bottom w:val="single" w:sz="24" w:space="0" w:color="AFCA0B" w:themeColor="accent5"/>
          <w:right w:val="nil"/>
          <w:insideH w:val="nil"/>
          <w:insideV w:val="nil"/>
        </w:tcBorders>
        <w:shd w:val="clear" w:color="auto" w:fill="FFFFFF" w:themeFill="background1"/>
      </w:tcPr>
    </w:tblStylePr>
    <w:tblStylePr w:type="lastRow">
      <w:tblPr/>
      <w:tcPr>
        <w:tcBorders>
          <w:top w:val="single" w:sz="8" w:space="0" w:color="AFCA0B"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FCA0B" w:themeColor="accent5"/>
          <w:insideH w:val="nil"/>
          <w:insideV w:val="nil"/>
        </w:tcBorders>
        <w:shd w:val="clear" w:color="auto" w:fill="FFFFFF" w:themeFill="background1"/>
      </w:tcPr>
    </w:tblStylePr>
    <w:tblStylePr w:type="lastCol">
      <w:tblPr/>
      <w:tcPr>
        <w:tcBorders>
          <w:top w:val="nil"/>
          <w:left w:val="single" w:sz="8" w:space="0" w:color="AFCA0B"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1FBB9" w:themeFill="accent5" w:themeFillTint="3F"/>
      </w:tcPr>
    </w:tblStylePr>
    <w:tblStylePr w:type="band1Horz">
      <w:tblPr/>
      <w:tcPr>
        <w:tcBorders>
          <w:top w:val="nil"/>
          <w:bottom w:val="nil"/>
          <w:insideH w:val="nil"/>
          <w:insideV w:val="nil"/>
        </w:tcBorders>
        <w:shd w:val="clear" w:color="auto" w:fill="F1FBB9"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DF245D"/>
    <w:pPr>
      <w:spacing w:after="0" w:line="240" w:lineRule="auto"/>
    </w:pPr>
    <w:rPr>
      <w:rFonts w:asciiTheme="majorHAnsi" w:eastAsiaTheme="majorEastAsia" w:hAnsiTheme="majorHAnsi" w:cstheme="majorBidi"/>
      <w:color w:val="30353F" w:themeColor="text1"/>
    </w:rPr>
    <w:tblPr>
      <w:tblStyleRowBandSize w:val="1"/>
      <w:tblStyleColBandSize w:val="1"/>
      <w:tblBorders>
        <w:top w:val="single" w:sz="8" w:space="0" w:color="3AAA35" w:themeColor="accent6"/>
        <w:left w:val="single" w:sz="8" w:space="0" w:color="3AAA35" w:themeColor="accent6"/>
        <w:bottom w:val="single" w:sz="8" w:space="0" w:color="3AAA35" w:themeColor="accent6"/>
        <w:right w:val="single" w:sz="8" w:space="0" w:color="3AAA35" w:themeColor="accent6"/>
      </w:tblBorders>
    </w:tblPr>
    <w:tblStylePr w:type="firstRow">
      <w:rPr>
        <w:sz w:val="24"/>
        <w:szCs w:val="24"/>
      </w:rPr>
      <w:tblPr/>
      <w:tcPr>
        <w:tcBorders>
          <w:top w:val="nil"/>
          <w:left w:val="nil"/>
          <w:bottom w:val="single" w:sz="24" w:space="0" w:color="3AAA35" w:themeColor="accent6"/>
          <w:right w:val="nil"/>
          <w:insideH w:val="nil"/>
          <w:insideV w:val="nil"/>
        </w:tcBorders>
        <w:shd w:val="clear" w:color="auto" w:fill="FFFFFF" w:themeFill="background1"/>
      </w:tcPr>
    </w:tblStylePr>
    <w:tblStylePr w:type="lastRow">
      <w:tblPr/>
      <w:tcPr>
        <w:tcBorders>
          <w:top w:val="single" w:sz="8" w:space="0" w:color="3AAA35"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3AAA35" w:themeColor="accent6"/>
          <w:insideH w:val="nil"/>
          <w:insideV w:val="nil"/>
        </w:tcBorders>
        <w:shd w:val="clear" w:color="auto" w:fill="FFFFFF" w:themeFill="background1"/>
      </w:tcPr>
    </w:tblStylePr>
    <w:tblStylePr w:type="lastCol">
      <w:tblPr/>
      <w:tcPr>
        <w:tcBorders>
          <w:top w:val="nil"/>
          <w:left w:val="single" w:sz="8" w:space="0" w:color="3AAA35"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AEEC8" w:themeFill="accent6" w:themeFillTint="3F"/>
      </w:tcPr>
    </w:tblStylePr>
    <w:tblStylePr w:type="band1Horz">
      <w:tblPr/>
      <w:tcPr>
        <w:tcBorders>
          <w:top w:val="nil"/>
          <w:bottom w:val="nil"/>
          <w:insideH w:val="nil"/>
          <w:insideV w:val="nil"/>
        </w:tcBorders>
        <w:shd w:val="clear" w:color="auto" w:fill="CAEEC8"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DF245D"/>
    <w:pPr>
      <w:spacing w:after="0" w:line="240" w:lineRule="auto"/>
    </w:pPr>
    <w:tblPr>
      <w:tblStyleRowBandSize w:val="1"/>
      <w:tblStyleColBandSize w:val="1"/>
      <w:tblBorders>
        <w:top w:val="single" w:sz="8" w:space="0" w:color="5B6477" w:themeColor="text1" w:themeTint="BF"/>
        <w:left w:val="single" w:sz="8" w:space="0" w:color="5B6477" w:themeColor="text1" w:themeTint="BF"/>
        <w:bottom w:val="single" w:sz="8" w:space="0" w:color="5B6477" w:themeColor="text1" w:themeTint="BF"/>
        <w:right w:val="single" w:sz="8" w:space="0" w:color="5B6477" w:themeColor="text1" w:themeTint="BF"/>
        <w:insideH w:val="single" w:sz="8" w:space="0" w:color="5B6477" w:themeColor="text1" w:themeTint="BF"/>
      </w:tblBorders>
    </w:tblPr>
    <w:tblStylePr w:type="firstRow">
      <w:pPr>
        <w:spacing w:before="0" w:after="0" w:line="240" w:lineRule="auto"/>
      </w:pPr>
      <w:rPr>
        <w:b/>
        <w:bCs/>
        <w:color w:val="FFFFFF" w:themeColor="background1"/>
      </w:rPr>
      <w:tblPr/>
      <w:tcPr>
        <w:tcBorders>
          <w:top w:val="single" w:sz="8" w:space="0" w:color="5B6477" w:themeColor="text1" w:themeTint="BF"/>
          <w:left w:val="single" w:sz="8" w:space="0" w:color="5B6477" w:themeColor="text1" w:themeTint="BF"/>
          <w:bottom w:val="single" w:sz="8" w:space="0" w:color="5B6477" w:themeColor="text1" w:themeTint="BF"/>
          <w:right w:val="single" w:sz="8" w:space="0" w:color="5B6477" w:themeColor="text1" w:themeTint="BF"/>
          <w:insideH w:val="nil"/>
          <w:insideV w:val="nil"/>
        </w:tcBorders>
        <w:shd w:val="clear" w:color="auto" w:fill="30353F" w:themeFill="text1"/>
      </w:tcPr>
    </w:tblStylePr>
    <w:tblStylePr w:type="lastRow">
      <w:pPr>
        <w:spacing w:before="0" w:after="0" w:line="240" w:lineRule="auto"/>
      </w:pPr>
      <w:rPr>
        <w:b/>
        <w:bCs/>
      </w:rPr>
      <w:tblPr/>
      <w:tcPr>
        <w:tcBorders>
          <w:top w:val="double" w:sz="6" w:space="0" w:color="5B6477" w:themeColor="text1" w:themeTint="BF"/>
          <w:left w:val="single" w:sz="8" w:space="0" w:color="5B6477" w:themeColor="text1" w:themeTint="BF"/>
          <w:bottom w:val="single" w:sz="8" w:space="0" w:color="5B6477" w:themeColor="text1" w:themeTint="BF"/>
          <w:right w:val="single" w:sz="8" w:space="0" w:color="5B6477" w:themeColor="text1" w:themeTint="BF"/>
          <w:insideH w:val="nil"/>
          <w:insideV w:val="nil"/>
        </w:tcBorders>
      </w:tcPr>
    </w:tblStylePr>
    <w:tblStylePr w:type="firstCol">
      <w:rPr>
        <w:b/>
        <w:bCs/>
      </w:rPr>
    </w:tblStylePr>
    <w:tblStylePr w:type="lastCol">
      <w:rPr>
        <w:b/>
        <w:bCs/>
      </w:rPr>
    </w:tblStylePr>
    <w:tblStylePr w:type="band1Vert">
      <w:tblPr/>
      <w:tcPr>
        <w:shd w:val="clear" w:color="auto" w:fill="C7CBD4" w:themeFill="text1" w:themeFillTint="3F"/>
      </w:tcPr>
    </w:tblStylePr>
    <w:tblStylePr w:type="band1Horz">
      <w:tblPr/>
      <w:tcPr>
        <w:tcBorders>
          <w:insideH w:val="nil"/>
          <w:insideV w:val="nil"/>
        </w:tcBorders>
        <w:shd w:val="clear" w:color="auto" w:fill="C7CBD4"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DF245D"/>
    <w:pPr>
      <w:spacing w:after="0" w:line="240" w:lineRule="auto"/>
    </w:pPr>
    <w:tblPr>
      <w:tblStyleRowBandSize w:val="1"/>
      <w:tblStyleColBandSize w:val="1"/>
      <w:tblBorders>
        <w:top w:val="single" w:sz="8" w:space="0" w:color="14C4FF" w:themeColor="accent1" w:themeTint="BF"/>
        <w:left w:val="single" w:sz="8" w:space="0" w:color="14C4FF" w:themeColor="accent1" w:themeTint="BF"/>
        <w:bottom w:val="single" w:sz="8" w:space="0" w:color="14C4FF" w:themeColor="accent1" w:themeTint="BF"/>
        <w:right w:val="single" w:sz="8" w:space="0" w:color="14C4FF" w:themeColor="accent1" w:themeTint="BF"/>
        <w:insideH w:val="single" w:sz="8" w:space="0" w:color="14C4FF" w:themeColor="accent1" w:themeTint="BF"/>
      </w:tblBorders>
    </w:tblPr>
    <w:tblStylePr w:type="firstRow">
      <w:pPr>
        <w:spacing w:before="0" w:after="0" w:line="240" w:lineRule="auto"/>
      </w:pPr>
      <w:rPr>
        <w:b/>
        <w:bCs/>
        <w:color w:val="FFFFFF" w:themeColor="background1"/>
      </w:rPr>
      <w:tblPr/>
      <w:tcPr>
        <w:tcBorders>
          <w:top w:val="single" w:sz="8" w:space="0" w:color="14C4FF" w:themeColor="accent1" w:themeTint="BF"/>
          <w:left w:val="single" w:sz="8" w:space="0" w:color="14C4FF" w:themeColor="accent1" w:themeTint="BF"/>
          <w:bottom w:val="single" w:sz="8" w:space="0" w:color="14C4FF" w:themeColor="accent1" w:themeTint="BF"/>
          <w:right w:val="single" w:sz="8" w:space="0" w:color="14C4FF" w:themeColor="accent1" w:themeTint="BF"/>
          <w:insideH w:val="nil"/>
          <w:insideV w:val="nil"/>
        </w:tcBorders>
        <w:shd w:val="clear" w:color="auto" w:fill="0094C5" w:themeFill="accent1"/>
      </w:tcPr>
    </w:tblStylePr>
    <w:tblStylePr w:type="lastRow">
      <w:pPr>
        <w:spacing w:before="0" w:after="0" w:line="240" w:lineRule="auto"/>
      </w:pPr>
      <w:rPr>
        <w:b/>
        <w:bCs/>
      </w:rPr>
      <w:tblPr/>
      <w:tcPr>
        <w:tcBorders>
          <w:top w:val="double" w:sz="6" w:space="0" w:color="14C4FF" w:themeColor="accent1" w:themeTint="BF"/>
          <w:left w:val="single" w:sz="8" w:space="0" w:color="14C4FF" w:themeColor="accent1" w:themeTint="BF"/>
          <w:bottom w:val="single" w:sz="8" w:space="0" w:color="14C4FF" w:themeColor="accent1" w:themeTint="BF"/>
          <w:right w:val="single" w:sz="8" w:space="0" w:color="14C4FF" w:themeColor="accent1" w:themeTint="BF"/>
          <w:insideH w:val="nil"/>
          <w:insideV w:val="nil"/>
        </w:tcBorders>
      </w:tcPr>
    </w:tblStylePr>
    <w:tblStylePr w:type="firstCol">
      <w:rPr>
        <w:b/>
        <w:bCs/>
      </w:rPr>
    </w:tblStylePr>
    <w:tblStylePr w:type="lastCol">
      <w:rPr>
        <w:b/>
        <w:bCs/>
      </w:rPr>
    </w:tblStylePr>
    <w:tblStylePr w:type="band1Vert">
      <w:tblPr/>
      <w:tcPr>
        <w:shd w:val="clear" w:color="auto" w:fill="B1EBFF" w:themeFill="accent1" w:themeFillTint="3F"/>
      </w:tcPr>
    </w:tblStylePr>
    <w:tblStylePr w:type="band1Horz">
      <w:tblPr/>
      <w:tcPr>
        <w:tcBorders>
          <w:insideH w:val="nil"/>
          <w:insideV w:val="nil"/>
        </w:tcBorders>
        <w:shd w:val="clear" w:color="auto" w:fill="B1EBFF"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DF245D"/>
    <w:pPr>
      <w:spacing w:after="0" w:line="240" w:lineRule="auto"/>
    </w:pPr>
    <w:tblPr>
      <w:tblStyleRowBandSize w:val="1"/>
      <w:tblStyleColBandSize w:val="1"/>
      <w:tblBorders>
        <w:top w:val="single" w:sz="8" w:space="0" w:color="FF2C90" w:themeColor="accent2" w:themeTint="BF"/>
        <w:left w:val="single" w:sz="8" w:space="0" w:color="FF2C90" w:themeColor="accent2" w:themeTint="BF"/>
        <w:bottom w:val="single" w:sz="8" w:space="0" w:color="FF2C90" w:themeColor="accent2" w:themeTint="BF"/>
        <w:right w:val="single" w:sz="8" w:space="0" w:color="FF2C90" w:themeColor="accent2" w:themeTint="BF"/>
        <w:insideH w:val="single" w:sz="8" w:space="0" w:color="FF2C90" w:themeColor="accent2" w:themeTint="BF"/>
      </w:tblBorders>
    </w:tblPr>
    <w:tblStylePr w:type="firstRow">
      <w:pPr>
        <w:spacing w:before="0" w:after="0" w:line="240" w:lineRule="auto"/>
      </w:pPr>
      <w:rPr>
        <w:b/>
        <w:bCs/>
        <w:color w:val="FFFFFF" w:themeColor="background1"/>
      </w:rPr>
      <w:tblPr/>
      <w:tcPr>
        <w:tcBorders>
          <w:top w:val="single" w:sz="8" w:space="0" w:color="FF2C90" w:themeColor="accent2" w:themeTint="BF"/>
          <w:left w:val="single" w:sz="8" w:space="0" w:color="FF2C90" w:themeColor="accent2" w:themeTint="BF"/>
          <w:bottom w:val="single" w:sz="8" w:space="0" w:color="FF2C90" w:themeColor="accent2" w:themeTint="BF"/>
          <w:right w:val="single" w:sz="8" w:space="0" w:color="FF2C90" w:themeColor="accent2" w:themeTint="BF"/>
          <w:insideH w:val="nil"/>
          <w:insideV w:val="nil"/>
        </w:tcBorders>
        <w:shd w:val="clear" w:color="auto" w:fill="E5006D" w:themeFill="accent2"/>
      </w:tcPr>
    </w:tblStylePr>
    <w:tblStylePr w:type="lastRow">
      <w:pPr>
        <w:spacing w:before="0" w:after="0" w:line="240" w:lineRule="auto"/>
      </w:pPr>
      <w:rPr>
        <w:b/>
        <w:bCs/>
      </w:rPr>
      <w:tblPr/>
      <w:tcPr>
        <w:tcBorders>
          <w:top w:val="double" w:sz="6" w:space="0" w:color="FF2C90" w:themeColor="accent2" w:themeTint="BF"/>
          <w:left w:val="single" w:sz="8" w:space="0" w:color="FF2C90" w:themeColor="accent2" w:themeTint="BF"/>
          <w:bottom w:val="single" w:sz="8" w:space="0" w:color="FF2C90" w:themeColor="accent2" w:themeTint="BF"/>
          <w:right w:val="single" w:sz="8" w:space="0" w:color="FF2C90" w:themeColor="accent2" w:themeTint="BF"/>
          <w:insideH w:val="nil"/>
          <w:insideV w:val="nil"/>
        </w:tcBorders>
      </w:tcPr>
    </w:tblStylePr>
    <w:tblStylePr w:type="firstCol">
      <w:rPr>
        <w:b/>
        <w:bCs/>
      </w:rPr>
    </w:tblStylePr>
    <w:tblStylePr w:type="lastCol">
      <w:rPr>
        <w:b/>
        <w:bCs/>
      </w:rPr>
    </w:tblStylePr>
    <w:tblStylePr w:type="band1Vert">
      <w:tblPr/>
      <w:tcPr>
        <w:shd w:val="clear" w:color="auto" w:fill="FFB9DA" w:themeFill="accent2" w:themeFillTint="3F"/>
      </w:tcPr>
    </w:tblStylePr>
    <w:tblStylePr w:type="band1Horz">
      <w:tblPr/>
      <w:tcPr>
        <w:tcBorders>
          <w:insideH w:val="nil"/>
          <w:insideV w:val="nil"/>
        </w:tcBorders>
        <w:shd w:val="clear" w:color="auto" w:fill="FFB9DA"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DF245D"/>
    <w:pPr>
      <w:spacing w:after="0" w:line="240" w:lineRule="auto"/>
    </w:pPr>
    <w:tblPr>
      <w:tblStyleRowBandSize w:val="1"/>
      <w:tblStyleColBandSize w:val="1"/>
      <w:tblBorders>
        <w:top w:val="single" w:sz="8" w:space="0" w:color="4536BB" w:themeColor="accent3" w:themeTint="BF"/>
        <w:left w:val="single" w:sz="8" w:space="0" w:color="4536BB" w:themeColor="accent3" w:themeTint="BF"/>
        <w:bottom w:val="single" w:sz="8" w:space="0" w:color="4536BB" w:themeColor="accent3" w:themeTint="BF"/>
        <w:right w:val="single" w:sz="8" w:space="0" w:color="4536BB" w:themeColor="accent3" w:themeTint="BF"/>
        <w:insideH w:val="single" w:sz="8" w:space="0" w:color="4536BB" w:themeColor="accent3" w:themeTint="BF"/>
      </w:tblBorders>
    </w:tblPr>
    <w:tblStylePr w:type="firstRow">
      <w:pPr>
        <w:spacing w:before="0" w:after="0" w:line="240" w:lineRule="auto"/>
      </w:pPr>
      <w:rPr>
        <w:b/>
        <w:bCs/>
        <w:color w:val="FFFFFF" w:themeColor="background1"/>
      </w:rPr>
      <w:tblPr/>
      <w:tcPr>
        <w:tcBorders>
          <w:top w:val="single" w:sz="8" w:space="0" w:color="4536BB" w:themeColor="accent3" w:themeTint="BF"/>
          <w:left w:val="single" w:sz="8" w:space="0" w:color="4536BB" w:themeColor="accent3" w:themeTint="BF"/>
          <w:bottom w:val="single" w:sz="8" w:space="0" w:color="4536BB" w:themeColor="accent3" w:themeTint="BF"/>
          <w:right w:val="single" w:sz="8" w:space="0" w:color="4536BB" w:themeColor="accent3" w:themeTint="BF"/>
          <w:insideH w:val="nil"/>
          <w:insideV w:val="nil"/>
        </w:tcBorders>
        <w:shd w:val="clear" w:color="auto" w:fill="2C2276" w:themeFill="accent3"/>
      </w:tcPr>
    </w:tblStylePr>
    <w:tblStylePr w:type="lastRow">
      <w:pPr>
        <w:spacing w:before="0" w:after="0" w:line="240" w:lineRule="auto"/>
      </w:pPr>
      <w:rPr>
        <w:b/>
        <w:bCs/>
      </w:rPr>
      <w:tblPr/>
      <w:tcPr>
        <w:tcBorders>
          <w:top w:val="double" w:sz="6" w:space="0" w:color="4536BB" w:themeColor="accent3" w:themeTint="BF"/>
          <w:left w:val="single" w:sz="8" w:space="0" w:color="4536BB" w:themeColor="accent3" w:themeTint="BF"/>
          <w:bottom w:val="single" w:sz="8" w:space="0" w:color="4536BB" w:themeColor="accent3" w:themeTint="BF"/>
          <w:right w:val="single" w:sz="8" w:space="0" w:color="4536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BFBAEB" w:themeFill="accent3" w:themeFillTint="3F"/>
      </w:tcPr>
    </w:tblStylePr>
    <w:tblStylePr w:type="band1Horz">
      <w:tblPr/>
      <w:tcPr>
        <w:tcBorders>
          <w:insideH w:val="nil"/>
          <w:insideV w:val="nil"/>
        </w:tcBorders>
        <w:shd w:val="clear" w:color="auto" w:fill="BFBAEB"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DF245D"/>
    <w:pPr>
      <w:spacing w:after="0" w:line="240" w:lineRule="auto"/>
    </w:pPr>
    <w:tblPr>
      <w:tblStyleRowBandSize w:val="1"/>
      <w:tblStyleColBandSize w:val="1"/>
      <w:tblBorders>
        <w:top w:val="single" w:sz="8" w:space="0" w:color="CB1D70" w:themeColor="accent4" w:themeTint="BF"/>
        <w:left w:val="single" w:sz="8" w:space="0" w:color="CB1D70" w:themeColor="accent4" w:themeTint="BF"/>
        <w:bottom w:val="single" w:sz="8" w:space="0" w:color="CB1D70" w:themeColor="accent4" w:themeTint="BF"/>
        <w:right w:val="single" w:sz="8" w:space="0" w:color="CB1D70" w:themeColor="accent4" w:themeTint="BF"/>
        <w:insideH w:val="single" w:sz="8" w:space="0" w:color="CB1D70" w:themeColor="accent4" w:themeTint="BF"/>
      </w:tblBorders>
    </w:tblPr>
    <w:tblStylePr w:type="firstRow">
      <w:pPr>
        <w:spacing w:before="0" w:after="0" w:line="240" w:lineRule="auto"/>
      </w:pPr>
      <w:rPr>
        <w:b/>
        <w:bCs/>
        <w:color w:val="FFFFFF" w:themeColor="background1"/>
      </w:rPr>
      <w:tblPr/>
      <w:tcPr>
        <w:tcBorders>
          <w:top w:val="single" w:sz="8" w:space="0" w:color="CB1D70" w:themeColor="accent4" w:themeTint="BF"/>
          <w:left w:val="single" w:sz="8" w:space="0" w:color="CB1D70" w:themeColor="accent4" w:themeTint="BF"/>
          <w:bottom w:val="single" w:sz="8" w:space="0" w:color="CB1D70" w:themeColor="accent4" w:themeTint="BF"/>
          <w:right w:val="single" w:sz="8" w:space="0" w:color="CB1D70" w:themeColor="accent4" w:themeTint="BF"/>
          <w:insideH w:val="nil"/>
          <w:insideV w:val="nil"/>
        </w:tcBorders>
        <w:shd w:val="clear" w:color="auto" w:fill="7B1244" w:themeFill="accent4"/>
      </w:tcPr>
    </w:tblStylePr>
    <w:tblStylePr w:type="lastRow">
      <w:pPr>
        <w:spacing w:before="0" w:after="0" w:line="240" w:lineRule="auto"/>
      </w:pPr>
      <w:rPr>
        <w:b/>
        <w:bCs/>
      </w:rPr>
      <w:tblPr/>
      <w:tcPr>
        <w:tcBorders>
          <w:top w:val="double" w:sz="6" w:space="0" w:color="CB1D70" w:themeColor="accent4" w:themeTint="BF"/>
          <w:left w:val="single" w:sz="8" w:space="0" w:color="CB1D70" w:themeColor="accent4" w:themeTint="BF"/>
          <w:bottom w:val="single" w:sz="8" w:space="0" w:color="CB1D70" w:themeColor="accent4" w:themeTint="BF"/>
          <w:right w:val="single" w:sz="8" w:space="0" w:color="CB1D7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3AFCF" w:themeFill="accent4" w:themeFillTint="3F"/>
      </w:tcPr>
    </w:tblStylePr>
    <w:tblStylePr w:type="band1Horz">
      <w:tblPr/>
      <w:tcPr>
        <w:tcBorders>
          <w:insideH w:val="nil"/>
          <w:insideV w:val="nil"/>
        </w:tcBorders>
        <w:shd w:val="clear" w:color="auto" w:fill="F3AFCF"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DF245D"/>
    <w:pPr>
      <w:spacing w:after="0" w:line="240" w:lineRule="auto"/>
    </w:pPr>
    <w:tblPr>
      <w:tblStyleRowBandSize w:val="1"/>
      <w:tblStyleColBandSize w:val="1"/>
      <w:tblBorders>
        <w:top w:val="single" w:sz="8" w:space="0" w:color="D6F32B" w:themeColor="accent5" w:themeTint="BF"/>
        <w:left w:val="single" w:sz="8" w:space="0" w:color="D6F32B" w:themeColor="accent5" w:themeTint="BF"/>
        <w:bottom w:val="single" w:sz="8" w:space="0" w:color="D6F32B" w:themeColor="accent5" w:themeTint="BF"/>
        <w:right w:val="single" w:sz="8" w:space="0" w:color="D6F32B" w:themeColor="accent5" w:themeTint="BF"/>
        <w:insideH w:val="single" w:sz="8" w:space="0" w:color="D6F32B" w:themeColor="accent5" w:themeTint="BF"/>
      </w:tblBorders>
    </w:tblPr>
    <w:tblStylePr w:type="firstRow">
      <w:pPr>
        <w:spacing w:before="0" w:after="0" w:line="240" w:lineRule="auto"/>
      </w:pPr>
      <w:rPr>
        <w:b/>
        <w:bCs/>
        <w:color w:val="FFFFFF" w:themeColor="background1"/>
      </w:rPr>
      <w:tblPr/>
      <w:tcPr>
        <w:tcBorders>
          <w:top w:val="single" w:sz="8" w:space="0" w:color="D6F32B" w:themeColor="accent5" w:themeTint="BF"/>
          <w:left w:val="single" w:sz="8" w:space="0" w:color="D6F32B" w:themeColor="accent5" w:themeTint="BF"/>
          <w:bottom w:val="single" w:sz="8" w:space="0" w:color="D6F32B" w:themeColor="accent5" w:themeTint="BF"/>
          <w:right w:val="single" w:sz="8" w:space="0" w:color="D6F32B" w:themeColor="accent5" w:themeTint="BF"/>
          <w:insideH w:val="nil"/>
          <w:insideV w:val="nil"/>
        </w:tcBorders>
        <w:shd w:val="clear" w:color="auto" w:fill="AFCA0B" w:themeFill="accent5"/>
      </w:tcPr>
    </w:tblStylePr>
    <w:tblStylePr w:type="lastRow">
      <w:pPr>
        <w:spacing w:before="0" w:after="0" w:line="240" w:lineRule="auto"/>
      </w:pPr>
      <w:rPr>
        <w:b/>
        <w:bCs/>
      </w:rPr>
      <w:tblPr/>
      <w:tcPr>
        <w:tcBorders>
          <w:top w:val="double" w:sz="6" w:space="0" w:color="D6F32B" w:themeColor="accent5" w:themeTint="BF"/>
          <w:left w:val="single" w:sz="8" w:space="0" w:color="D6F32B" w:themeColor="accent5" w:themeTint="BF"/>
          <w:bottom w:val="single" w:sz="8" w:space="0" w:color="D6F32B" w:themeColor="accent5" w:themeTint="BF"/>
          <w:right w:val="single" w:sz="8" w:space="0" w:color="D6F32B" w:themeColor="accent5" w:themeTint="BF"/>
          <w:insideH w:val="nil"/>
          <w:insideV w:val="nil"/>
        </w:tcBorders>
      </w:tcPr>
    </w:tblStylePr>
    <w:tblStylePr w:type="firstCol">
      <w:rPr>
        <w:b/>
        <w:bCs/>
      </w:rPr>
    </w:tblStylePr>
    <w:tblStylePr w:type="lastCol">
      <w:rPr>
        <w:b/>
        <w:bCs/>
      </w:rPr>
    </w:tblStylePr>
    <w:tblStylePr w:type="band1Vert">
      <w:tblPr/>
      <w:tcPr>
        <w:shd w:val="clear" w:color="auto" w:fill="F1FBB9" w:themeFill="accent5" w:themeFillTint="3F"/>
      </w:tcPr>
    </w:tblStylePr>
    <w:tblStylePr w:type="band1Horz">
      <w:tblPr/>
      <w:tcPr>
        <w:tcBorders>
          <w:insideH w:val="nil"/>
          <w:insideV w:val="nil"/>
        </w:tcBorders>
        <w:shd w:val="clear" w:color="auto" w:fill="F1FBB9"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DF245D"/>
    <w:pPr>
      <w:spacing w:after="0" w:line="240" w:lineRule="auto"/>
    </w:pPr>
    <w:tblPr>
      <w:tblStyleRowBandSize w:val="1"/>
      <w:tblStyleColBandSize w:val="1"/>
      <w:tblBorders>
        <w:top w:val="single" w:sz="8" w:space="0" w:color="5FCC5B" w:themeColor="accent6" w:themeTint="BF"/>
        <w:left w:val="single" w:sz="8" w:space="0" w:color="5FCC5B" w:themeColor="accent6" w:themeTint="BF"/>
        <w:bottom w:val="single" w:sz="8" w:space="0" w:color="5FCC5B" w:themeColor="accent6" w:themeTint="BF"/>
        <w:right w:val="single" w:sz="8" w:space="0" w:color="5FCC5B" w:themeColor="accent6" w:themeTint="BF"/>
        <w:insideH w:val="single" w:sz="8" w:space="0" w:color="5FCC5B" w:themeColor="accent6" w:themeTint="BF"/>
      </w:tblBorders>
    </w:tblPr>
    <w:tblStylePr w:type="firstRow">
      <w:pPr>
        <w:spacing w:before="0" w:after="0" w:line="240" w:lineRule="auto"/>
      </w:pPr>
      <w:rPr>
        <w:b/>
        <w:bCs/>
        <w:color w:val="FFFFFF" w:themeColor="background1"/>
      </w:rPr>
      <w:tblPr/>
      <w:tcPr>
        <w:tcBorders>
          <w:top w:val="single" w:sz="8" w:space="0" w:color="5FCC5B" w:themeColor="accent6" w:themeTint="BF"/>
          <w:left w:val="single" w:sz="8" w:space="0" w:color="5FCC5B" w:themeColor="accent6" w:themeTint="BF"/>
          <w:bottom w:val="single" w:sz="8" w:space="0" w:color="5FCC5B" w:themeColor="accent6" w:themeTint="BF"/>
          <w:right w:val="single" w:sz="8" w:space="0" w:color="5FCC5B" w:themeColor="accent6" w:themeTint="BF"/>
          <w:insideH w:val="nil"/>
          <w:insideV w:val="nil"/>
        </w:tcBorders>
        <w:shd w:val="clear" w:color="auto" w:fill="3AAA35" w:themeFill="accent6"/>
      </w:tcPr>
    </w:tblStylePr>
    <w:tblStylePr w:type="lastRow">
      <w:pPr>
        <w:spacing w:before="0" w:after="0" w:line="240" w:lineRule="auto"/>
      </w:pPr>
      <w:rPr>
        <w:b/>
        <w:bCs/>
      </w:rPr>
      <w:tblPr/>
      <w:tcPr>
        <w:tcBorders>
          <w:top w:val="double" w:sz="6" w:space="0" w:color="5FCC5B" w:themeColor="accent6" w:themeTint="BF"/>
          <w:left w:val="single" w:sz="8" w:space="0" w:color="5FCC5B" w:themeColor="accent6" w:themeTint="BF"/>
          <w:bottom w:val="single" w:sz="8" w:space="0" w:color="5FCC5B" w:themeColor="accent6" w:themeTint="BF"/>
          <w:right w:val="single" w:sz="8" w:space="0" w:color="5FCC5B" w:themeColor="accent6" w:themeTint="BF"/>
          <w:insideH w:val="nil"/>
          <w:insideV w:val="nil"/>
        </w:tcBorders>
      </w:tcPr>
    </w:tblStylePr>
    <w:tblStylePr w:type="firstCol">
      <w:rPr>
        <w:b/>
        <w:bCs/>
      </w:rPr>
    </w:tblStylePr>
    <w:tblStylePr w:type="lastCol">
      <w:rPr>
        <w:b/>
        <w:bCs/>
      </w:rPr>
    </w:tblStylePr>
    <w:tblStylePr w:type="band1Vert">
      <w:tblPr/>
      <w:tcPr>
        <w:shd w:val="clear" w:color="auto" w:fill="CAEEC8" w:themeFill="accent6" w:themeFillTint="3F"/>
      </w:tcPr>
    </w:tblStylePr>
    <w:tblStylePr w:type="band1Horz">
      <w:tblPr/>
      <w:tcPr>
        <w:tcBorders>
          <w:insideH w:val="nil"/>
          <w:insideV w:val="nil"/>
        </w:tcBorders>
        <w:shd w:val="clear" w:color="auto" w:fill="CAEEC8"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DF245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30353F"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30353F" w:themeFill="text1"/>
      </w:tcPr>
    </w:tblStylePr>
    <w:tblStylePr w:type="lastCol">
      <w:rPr>
        <w:b/>
        <w:bCs/>
        <w:color w:val="FFFFFF" w:themeColor="background1"/>
      </w:rPr>
      <w:tblPr/>
      <w:tcPr>
        <w:tcBorders>
          <w:left w:val="nil"/>
          <w:right w:val="nil"/>
          <w:insideH w:val="nil"/>
          <w:insideV w:val="nil"/>
        </w:tcBorders>
        <w:shd w:val="clear" w:color="auto" w:fill="30353F"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unhideWhenUsed/>
    <w:rsid w:val="00DF245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94C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94C5" w:themeFill="accent1"/>
      </w:tcPr>
    </w:tblStylePr>
    <w:tblStylePr w:type="lastCol">
      <w:rPr>
        <w:b/>
        <w:bCs/>
        <w:color w:val="FFFFFF" w:themeColor="background1"/>
      </w:rPr>
      <w:tblPr/>
      <w:tcPr>
        <w:tcBorders>
          <w:left w:val="nil"/>
          <w:right w:val="nil"/>
          <w:insideH w:val="nil"/>
          <w:insideV w:val="nil"/>
        </w:tcBorders>
        <w:shd w:val="clear" w:color="auto" w:fill="0094C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unhideWhenUsed/>
    <w:rsid w:val="00DF245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5006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5006D" w:themeFill="accent2"/>
      </w:tcPr>
    </w:tblStylePr>
    <w:tblStylePr w:type="lastCol">
      <w:rPr>
        <w:b/>
        <w:bCs/>
        <w:color w:val="FFFFFF" w:themeColor="background1"/>
      </w:rPr>
      <w:tblPr/>
      <w:tcPr>
        <w:tcBorders>
          <w:left w:val="nil"/>
          <w:right w:val="nil"/>
          <w:insideH w:val="nil"/>
          <w:insideV w:val="nil"/>
        </w:tcBorders>
        <w:shd w:val="clear" w:color="auto" w:fill="E5006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unhideWhenUsed/>
    <w:rsid w:val="00DF245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C2276"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C2276" w:themeFill="accent3"/>
      </w:tcPr>
    </w:tblStylePr>
    <w:tblStylePr w:type="lastCol">
      <w:rPr>
        <w:b/>
        <w:bCs/>
        <w:color w:val="FFFFFF" w:themeColor="background1"/>
      </w:rPr>
      <w:tblPr/>
      <w:tcPr>
        <w:tcBorders>
          <w:left w:val="nil"/>
          <w:right w:val="nil"/>
          <w:insideH w:val="nil"/>
          <w:insideV w:val="nil"/>
        </w:tcBorders>
        <w:shd w:val="clear" w:color="auto" w:fill="2C2276"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unhideWhenUsed/>
    <w:rsid w:val="00DF245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B1244"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B1244" w:themeFill="accent4"/>
      </w:tcPr>
    </w:tblStylePr>
    <w:tblStylePr w:type="lastCol">
      <w:rPr>
        <w:b/>
        <w:bCs/>
        <w:color w:val="FFFFFF" w:themeColor="background1"/>
      </w:rPr>
      <w:tblPr/>
      <w:tcPr>
        <w:tcBorders>
          <w:left w:val="nil"/>
          <w:right w:val="nil"/>
          <w:insideH w:val="nil"/>
          <w:insideV w:val="nil"/>
        </w:tcBorders>
        <w:shd w:val="clear" w:color="auto" w:fill="7B1244"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unhideWhenUsed/>
    <w:rsid w:val="00DF245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FCA0B"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FCA0B" w:themeFill="accent5"/>
      </w:tcPr>
    </w:tblStylePr>
    <w:tblStylePr w:type="lastCol">
      <w:rPr>
        <w:b/>
        <w:bCs/>
        <w:color w:val="FFFFFF" w:themeColor="background1"/>
      </w:rPr>
      <w:tblPr/>
      <w:tcPr>
        <w:tcBorders>
          <w:left w:val="nil"/>
          <w:right w:val="nil"/>
          <w:insideH w:val="nil"/>
          <w:insideV w:val="nil"/>
        </w:tcBorders>
        <w:shd w:val="clear" w:color="auto" w:fill="AFCA0B"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unhideWhenUsed/>
    <w:rsid w:val="00DF245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3AAA35"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3AAA35" w:themeFill="accent6"/>
      </w:tcPr>
    </w:tblStylePr>
    <w:tblStylePr w:type="lastCol">
      <w:rPr>
        <w:b/>
        <w:bCs/>
        <w:color w:val="FFFFFF" w:themeColor="background1"/>
      </w:rPr>
      <w:tblPr/>
      <w:tcPr>
        <w:tcBorders>
          <w:left w:val="nil"/>
          <w:right w:val="nil"/>
          <w:insideH w:val="nil"/>
          <w:insideV w:val="nil"/>
        </w:tcBorders>
        <w:shd w:val="clear" w:color="auto" w:fill="3AAA35"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MessageHeader">
    <w:name w:val="Message Header"/>
    <w:basedOn w:val="Normal"/>
    <w:link w:val="MessageHeaderChar"/>
    <w:uiPriority w:val="99"/>
    <w:semiHidden/>
    <w:unhideWhenUsed/>
    <w:rsid w:val="00DF245D"/>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DF245D"/>
    <w:rPr>
      <w:rFonts w:asciiTheme="majorHAnsi" w:eastAsiaTheme="majorEastAsia" w:hAnsiTheme="majorHAnsi" w:cstheme="majorBidi"/>
      <w:sz w:val="24"/>
      <w:szCs w:val="24"/>
      <w:shd w:val="pct20" w:color="auto" w:fill="auto"/>
    </w:rPr>
  </w:style>
  <w:style w:type="paragraph" w:styleId="NoSpacing">
    <w:name w:val="No Spacing"/>
    <w:uiPriority w:val="1"/>
    <w:semiHidden/>
    <w:qFormat/>
    <w:rsid w:val="00DF245D"/>
    <w:pPr>
      <w:spacing w:after="0" w:line="240" w:lineRule="auto"/>
    </w:pPr>
    <w:rPr>
      <w:rFonts w:ascii="Calibri" w:hAnsi="Calibri"/>
    </w:rPr>
  </w:style>
  <w:style w:type="paragraph" w:styleId="NormalWeb">
    <w:name w:val="Normal (Web)"/>
    <w:basedOn w:val="Normal"/>
    <w:uiPriority w:val="99"/>
    <w:semiHidden/>
    <w:unhideWhenUsed/>
    <w:rsid w:val="00DF245D"/>
    <w:rPr>
      <w:rFonts w:ascii="Times New Roman" w:hAnsi="Times New Roman" w:cs="Times New Roman"/>
      <w:sz w:val="24"/>
      <w:szCs w:val="24"/>
    </w:rPr>
  </w:style>
  <w:style w:type="paragraph" w:styleId="NormalIndent">
    <w:name w:val="Normal Indent"/>
    <w:basedOn w:val="Normal"/>
    <w:uiPriority w:val="99"/>
    <w:semiHidden/>
    <w:unhideWhenUsed/>
    <w:rsid w:val="00DF245D"/>
    <w:pPr>
      <w:ind w:left="720"/>
    </w:pPr>
  </w:style>
  <w:style w:type="paragraph" w:styleId="NoteHeading">
    <w:name w:val="Note Heading"/>
    <w:basedOn w:val="Normal"/>
    <w:next w:val="Normal"/>
    <w:link w:val="NoteHeadingChar"/>
    <w:uiPriority w:val="99"/>
    <w:semiHidden/>
    <w:unhideWhenUsed/>
    <w:rsid w:val="00DF245D"/>
    <w:pPr>
      <w:spacing w:after="0" w:line="240" w:lineRule="auto"/>
    </w:pPr>
  </w:style>
  <w:style w:type="character" w:customStyle="1" w:styleId="NoteHeadingChar">
    <w:name w:val="Note Heading Char"/>
    <w:basedOn w:val="DefaultParagraphFont"/>
    <w:link w:val="NoteHeading"/>
    <w:uiPriority w:val="99"/>
    <w:semiHidden/>
    <w:rsid w:val="00DF245D"/>
    <w:rPr>
      <w:rFonts w:ascii="Calibri" w:hAnsi="Calibri"/>
    </w:rPr>
  </w:style>
  <w:style w:type="character" w:styleId="PageNumber">
    <w:name w:val="page number"/>
    <w:basedOn w:val="DefaultParagraphFont"/>
    <w:uiPriority w:val="48"/>
    <w:rsid w:val="00DF245D"/>
  </w:style>
  <w:style w:type="table" w:styleId="PlainTable1">
    <w:name w:val="Plain Table 1"/>
    <w:basedOn w:val="TableNormal"/>
    <w:uiPriority w:val="41"/>
    <w:rsid w:val="00916CFA"/>
    <w:pPr>
      <w:spacing w:after="0" w:line="240" w:lineRule="auto"/>
    </w:pPr>
    <w:tblPr>
      <w:tblStyleRowBandSize w:val="1"/>
      <w:tblStyleColBandSize w:val="1"/>
      <w:tblInd w:w="851"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916CFA"/>
    <w:pPr>
      <w:spacing w:after="0" w:line="240" w:lineRule="auto"/>
    </w:pPr>
    <w:tblPr>
      <w:tblStyleRowBandSize w:val="1"/>
      <w:tblStyleColBandSize w:val="1"/>
      <w:tblInd w:w="851" w:type="dxa"/>
      <w:tblBorders>
        <w:top w:val="single" w:sz="4" w:space="0" w:color="8D96A8" w:themeColor="text1" w:themeTint="80"/>
        <w:bottom w:val="single" w:sz="4" w:space="0" w:color="8D96A8" w:themeColor="text1" w:themeTint="80"/>
      </w:tblBorders>
    </w:tblPr>
    <w:tblStylePr w:type="firstRow">
      <w:rPr>
        <w:b/>
        <w:bCs/>
      </w:rPr>
      <w:tblPr/>
      <w:tcPr>
        <w:tcBorders>
          <w:bottom w:val="single" w:sz="4" w:space="0" w:color="8D96A8" w:themeColor="text1" w:themeTint="80"/>
        </w:tcBorders>
      </w:tcPr>
    </w:tblStylePr>
    <w:tblStylePr w:type="lastRow">
      <w:rPr>
        <w:b/>
        <w:bCs/>
      </w:rPr>
      <w:tblPr/>
      <w:tcPr>
        <w:tcBorders>
          <w:top w:val="single" w:sz="4" w:space="0" w:color="8D96A8" w:themeColor="text1" w:themeTint="80"/>
        </w:tcBorders>
      </w:tcPr>
    </w:tblStylePr>
    <w:tblStylePr w:type="firstCol">
      <w:rPr>
        <w:b/>
        <w:bCs/>
      </w:rPr>
    </w:tblStylePr>
    <w:tblStylePr w:type="lastCol">
      <w:rPr>
        <w:b/>
        <w:bCs/>
      </w:rPr>
    </w:tblStylePr>
    <w:tblStylePr w:type="band1Vert">
      <w:tblPr/>
      <w:tcPr>
        <w:tcBorders>
          <w:left w:val="single" w:sz="4" w:space="0" w:color="8D96A8" w:themeColor="text1" w:themeTint="80"/>
          <w:right w:val="single" w:sz="4" w:space="0" w:color="8D96A8" w:themeColor="text1" w:themeTint="80"/>
        </w:tcBorders>
      </w:tcPr>
    </w:tblStylePr>
    <w:tblStylePr w:type="band2Vert">
      <w:tblPr/>
      <w:tcPr>
        <w:tcBorders>
          <w:left w:val="single" w:sz="4" w:space="0" w:color="8D96A8" w:themeColor="text1" w:themeTint="80"/>
          <w:right w:val="single" w:sz="4" w:space="0" w:color="8D96A8" w:themeColor="text1" w:themeTint="80"/>
        </w:tcBorders>
      </w:tcPr>
    </w:tblStylePr>
    <w:tblStylePr w:type="band1Horz">
      <w:tblPr/>
      <w:tcPr>
        <w:tcBorders>
          <w:top w:val="single" w:sz="4" w:space="0" w:color="8D96A8" w:themeColor="text1" w:themeTint="80"/>
          <w:bottom w:val="single" w:sz="4" w:space="0" w:color="8D96A8" w:themeColor="text1" w:themeTint="80"/>
        </w:tcBorders>
      </w:tcPr>
    </w:tblStylePr>
  </w:style>
  <w:style w:type="table" w:styleId="PlainTable4">
    <w:name w:val="Plain Table 4"/>
    <w:basedOn w:val="TableNormal"/>
    <w:uiPriority w:val="44"/>
    <w:rsid w:val="00916CFA"/>
    <w:pPr>
      <w:spacing w:after="0" w:line="240" w:lineRule="auto"/>
    </w:pPr>
    <w:tblPr>
      <w:tblStyleRowBandSize w:val="1"/>
      <w:tblStyleColBandSize w:val="1"/>
      <w:tblInd w:w="851" w:type="dxa"/>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916CFA"/>
    <w:pPr>
      <w:spacing w:after="0" w:line="240" w:lineRule="auto"/>
    </w:pPr>
    <w:tblPr>
      <w:tblStyleRowBandSize w:val="1"/>
      <w:tblStyleColBandSize w:val="1"/>
      <w:tblInd w:w="851" w:type="dxa"/>
    </w:tblPr>
    <w:tblStylePr w:type="firstRow">
      <w:rPr>
        <w:rFonts w:asciiTheme="majorHAnsi" w:eastAsiaTheme="majorEastAsia" w:hAnsiTheme="majorHAnsi" w:cstheme="majorBidi"/>
        <w:i/>
        <w:iCs/>
        <w:sz w:val="26"/>
      </w:rPr>
      <w:tblPr/>
      <w:tcPr>
        <w:tcBorders>
          <w:bottom w:val="single" w:sz="4" w:space="0" w:color="8D96A8"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D96A8"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D96A8"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D96A8"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SmartHyperlink">
    <w:name w:val="Smart Hyperlink"/>
    <w:basedOn w:val="DefaultParagraphFont"/>
    <w:uiPriority w:val="99"/>
    <w:semiHidden/>
    <w:unhideWhenUsed/>
    <w:rsid w:val="00DF245D"/>
    <w:rPr>
      <w:u w:val="dotted"/>
    </w:rPr>
  </w:style>
  <w:style w:type="character" w:customStyle="1" w:styleId="SmartLink1">
    <w:name w:val="SmartLink1"/>
    <w:basedOn w:val="DefaultParagraphFont"/>
    <w:uiPriority w:val="99"/>
    <w:semiHidden/>
    <w:unhideWhenUsed/>
    <w:rsid w:val="00DF245D"/>
    <w:rPr>
      <w:color w:val="2B579A"/>
      <w:shd w:val="clear" w:color="auto" w:fill="E1DFDD"/>
    </w:rPr>
  </w:style>
  <w:style w:type="table" w:styleId="Table3Deffects1">
    <w:name w:val="Table 3D effects 1"/>
    <w:basedOn w:val="TableNormal"/>
    <w:uiPriority w:val="99"/>
    <w:semiHidden/>
    <w:unhideWhenUsed/>
    <w:rsid w:val="00DF245D"/>
    <w:pPr>
      <w:spacing w:after="120" w:line="26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DF245D"/>
    <w:pPr>
      <w:spacing w:after="120" w:line="26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DF245D"/>
    <w:pPr>
      <w:spacing w:after="120" w:line="26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DF245D"/>
    <w:pPr>
      <w:spacing w:after="120" w:line="26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DF245D"/>
    <w:pPr>
      <w:spacing w:after="120" w:line="26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DF245D"/>
    <w:pPr>
      <w:spacing w:after="120" w:line="26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DF245D"/>
    <w:pPr>
      <w:spacing w:after="120" w:line="26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DF245D"/>
    <w:pPr>
      <w:spacing w:after="120" w:line="26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DF245D"/>
    <w:pPr>
      <w:spacing w:after="120" w:line="26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DF245D"/>
    <w:pPr>
      <w:spacing w:after="120" w:line="26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DF245D"/>
    <w:pPr>
      <w:spacing w:after="120" w:line="260" w:lineRule="atLeast"/>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DF245D"/>
    <w:pPr>
      <w:spacing w:after="120" w:line="260" w:lineRule="atLeas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DF245D"/>
    <w:pPr>
      <w:spacing w:after="120" w:line="260" w:lineRule="atLeas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DF245D"/>
    <w:pPr>
      <w:spacing w:after="120" w:line="26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DF245D"/>
    <w:pPr>
      <w:spacing w:after="120" w:line="26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DF245D"/>
    <w:pPr>
      <w:spacing w:after="120" w:line="26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DF245D"/>
    <w:pPr>
      <w:spacing w:after="120" w:line="26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DF245D"/>
    <w:pPr>
      <w:spacing w:after="120" w:line="26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DF245D"/>
    <w:pPr>
      <w:spacing w:after="120" w:line="26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DF245D"/>
    <w:pPr>
      <w:spacing w:after="120" w:line="26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DF245D"/>
    <w:pPr>
      <w:spacing w:after="120" w:line="26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DF245D"/>
    <w:pPr>
      <w:spacing w:after="120" w:line="26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DF245D"/>
    <w:pPr>
      <w:spacing w:after="120" w:line="26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DF245D"/>
    <w:pPr>
      <w:spacing w:after="120" w:line="260" w:lineRule="atLeast"/>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DF245D"/>
    <w:pPr>
      <w:spacing w:after="120" w:line="26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unhideWhenUsed/>
    <w:rsid w:val="00DF245D"/>
    <w:pPr>
      <w:spacing w:after="120" w:line="26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DF245D"/>
    <w:pPr>
      <w:spacing w:after="120" w:line="26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DF245D"/>
    <w:pPr>
      <w:spacing w:after="120" w:line="26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DF245D"/>
    <w:pPr>
      <w:spacing w:after="120" w:line="26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DF245D"/>
    <w:pPr>
      <w:spacing w:after="120" w:line="26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DF245D"/>
    <w:pPr>
      <w:spacing w:after="120" w:line="26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DF245D"/>
    <w:pPr>
      <w:spacing w:after="120" w:line="26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DF245D"/>
    <w:pPr>
      <w:spacing w:after="120" w:line="26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rsid w:val="00DF245D"/>
    <w:pPr>
      <w:spacing w:after="0"/>
      <w:ind w:left="220" w:hanging="220"/>
    </w:pPr>
  </w:style>
  <w:style w:type="table" w:styleId="TableProfessional">
    <w:name w:val="Table Professional"/>
    <w:basedOn w:val="TableNormal"/>
    <w:uiPriority w:val="99"/>
    <w:semiHidden/>
    <w:unhideWhenUsed/>
    <w:rsid w:val="00DF245D"/>
    <w:pPr>
      <w:spacing w:after="120" w:line="26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DF245D"/>
    <w:pPr>
      <w:spacing w:after="120" w:line="26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DF245D"/>
    <w:pPr>
      <w:spacing w:after="120" w:line="26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DF245D"/>
    <w:pPr>
      <w:spacing w:after="120" w:line="26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DF245D"/>
    <w:pPr>
      <w:spacing w:after="120" w:line="26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DF245D"/>
    <w:pPr>
      <w:spacing w:after="120" w:line="26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DF245D"/>
    <w:pPr>
      <w:spacing w:after="120" w:line="26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DF245D"/>
    <w:pPr>
      <w:spacing w:after="120" w:line="26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DF245D"/>
    <w:pPr>
      <w:spacing w:after="120" w:line="26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DF245D"/>
    <w:pPr>
      <w:spacing w:after="120" w:line="26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uiPriority w:val="99"/>
    <w:semiHidden/>
    <w:unhideWhenUsed/>
    <w:rsid w:val="00DF245D"/>
    <w:pPr>
      <w:spacing w:before="120"/>
    </w:pPr>
    <w:rPr>
      <w:rFonts w:asciiTheme="majorHAnsi" w:eastAsiaTheme="majorEastAsia" w:hAnsiTheme="majorHAnsi" w:cstheme="majorBidi"/>
      <w:b/>
      <w:bCs/>
      <w:sz w:val="24"/>
      <w:szCs w:val="24"/>
    </w:rPr>
  </w:style>
  <w:style w:type="paragraph" w:customStyle="1" w:styleId="CaptionSubheading">
    <w:name w:val="Caption Subheading"/>
    <w:basedOn w:val="USBodyText"/>
    <w:uiPriority w:val="39"/>
    <w:rsid w:val="004E29DF"/>
    <w:pPr>
      <w:keepNext/>
      <w:spacing w:line="220" w:lineRule="atLeast"/>
    </w:pPr>
    <w:rPr>
      <w:sz w:val="18"/>
      <w:szCs w:val="18"/>
    </w:rPr>
  </w:style>
  <w:style w:type="paragraph" w:customStyle="1" w:styleId="TableCaption">
    <w:name w:val="Table Caption"/>
    <w:basedOn w:val="Caption"/>
    <w:next w:val="CaptionSubheading"/>
    <w:uiPriority w:val="38"/>
    <w:rsid w:val="00EC22B7"/>
    <w:pPr>
      <w:ind w:left="851" w:firstLine="0"/>
    </w:pPr>
  </w:style>
  <w:style w:type="paragraph" w:customStyle="1" w:styleId="FigureCaption">
    <w:name w:val="Figure Caption"/>
    <w:basedOn w:val="Caption"/>
    <w:uiPriority w:val="38"/>
    <w:rsid w:val="00EC22B7"/>
    <w:pPr>
      <w:spacing w:after="120"/>
      <w:ind w:left="851" w:firstLine="0"/>
    </w:pPr>
  </w:style>
  <w:style w:type="paragraph" w:customStyle="1" w:styleId="ESHeading1">
    <w:name w:val="ES Heading 1"/>
    <w:basedOn w:val="Heading1"/>
    <w:next w:val="USBodyText"/>
    <w:uiPriority w:val="8"/>
    <w:rsid w:val="00C141D4"/>
    <w:pPr>
      <w:numPr>
        <w:numId w:val="0"/>
      </w:numPr>
      <w:outlineLvl w:val="9"/>
    </w:pPr>
  </w:style>
  <w:style w:type="paragraph" w:customStyle="1" w:styleId="ESHeading2">
    <w:name w:val="ES Heading 2"/>
    <w:basedOn w:val="Heading2"/>
    <w:next w:val="USBodyText"/>
    <w:uiPriority w:val="8"/>
    <w:rsid w:val="00C141D4"/>
    <w:pPr>
      <w:numPr>
        <w:ilvl w:val="0"/>
        <w:numId w:val="0"/>
      </w:numPr>
      <w:outlineLvl w:val="9"/>
    </w:pPr>
  </w:style>
  <w:style w:type="paragraph" w:customStyle="1" w:styleId="HeadingContents-TablesFigures">
    <w:name w:val="Heading Contents - Tables/Figures"/>
    <w:basedOn w:val="Heading2"/>
    <w:uiPriority w:val="55"/>
    <w:rsid w:val="009C506D"/>
    <w:pPr>
      <w:numPr>
        <w:ilvl w:val="0"/>
        <w:numId w:val="0"/>
      </w:numPr>
      <w:spacing w:before="120" w:after="40"/>
      <w:outlineLvl w:val="9"/>
    </w:pPr>
  </w:style>
  <w:style w:type="paragraph" w:styleId="ListParagraph">
    <w:name w:val="List Paragraph"/>
    <w:basedOn w:val="Normal"/>
    <w:uiPriority w:val="34"/>
    <w:semiHidden/>
    <w:qFormat/>
    <w:rsid w:val="00C7750E"/>
    <w:pPr>
      <w:ind w:left="720"/>
      <w:contextualSpacing/>
    </w:pPr>
  </w:style>
  <w:style w:type="character" w:customStyle="1" w:styleId="QuotationwithinSentence">
    <w:name w:val="Quotation (within Sentence)"/>
    <w:basedOn w:val="DefaultParagraphFont"/>
    <w:uiPriority w:val="18"/>
    <w:rsid w:val="0039336F"/>
    <w:rPr>
      <w:i/>
    </w:rPr>
  </w:style>
  <w:style w:type="paragraph" w:customStyle="1" w:styleId="CoverPicturePlaceholder">
    <w:name w:val="Cover Picture Placeholder"/>
    <w:basedOn w:val="USBodyText"/>
    <w:next w:val="CoverTitle"/>
    <w:uiPriority w:val="54"/>
    <w:rsid w:val="004D53BA"/>
    <w:pPr>
      <w:spacing w:after="0"/>
      <w:ind w:left="0"/>
    </w:pPr>
  </w:style>
  <w:style w:type="paragraph" w:customStyle="1" w:styleId="FooterInsidecover">
    <w:name w:val="Footer (Inside cover)"/>
    <w:basedOn w:val="Footer"/>
    <w:uiPriority w:val="47"/>
    <w:rsid w:val="00881555"/>
    <w:pPr>
      <w:ind w:left="851"/>
      <w:jc w:val="left"/>
    </w:pPr>
    <w:rPr>
      <w:sz w:val="17"/>
    </w:rPr>
  </w:style>
  <w:style w:type="character" w:styleId="UnresolvedMention">
    <w:name w:val="Unresolved Mention"/>
    <w:basedOn w:val="DefaultParagraphFont"/>
    <w:uiPriority w:val="99"/>
    <w:semiHidden/>
    <w:unhideWhenUsed/>
    <w:rsid w:val="00881555"/>
    <w:rPr>
      <w:color w:val="605E5C"/>
      <w:shd w:val="clear" w:color="auto" w:fill="E1DFDD"/>
    </w:rPr>
  </w:style>
  <w:style w:type="paragraph" w:customStyle="1" w:styleId="paragraph">
    <w:name w:val="paragraph"/>
    <w:basedOn w:val="Normal"/>
    <w:rsid w:val="004F5493"/>
    <w:pPr>
      <w:spacing w:before="100" w:beforeAutospacing="1" w:after="100" w:afterAutospacing="1" w:line="240" w:lineRule="auto"/>
    </w:pPr>
    <w:rPr>
      <w:rFonts w:ascii="Aptos" w:hAnsi="Aptos" w:cs="Aptos"/>
      <w:sz w:val="24"/>
      <w:szCs w:val="24"/>
      <w:lang w:eastAsia="en-NZ"/>
    </w:rPr>
  </w:style>
  <w:style w:type="character" w:customStyle="1" w:styleId="normaltextrun">
    <w:name w:val="normaltextrun"/>
    <w:basedOn w:val="DefaultParagraphFont"/>
    <w:rsid w:val="004F5493"/>
  </w:style>
  <w:style w:type="character" w:customStyle="1" w:styleId="eop">
    <w:name w:val="eop"/>
    <w:basedOn w:val="DefaultParagraphFont"/>
    <w:rsid w:val="004F5493"/>
  </w:style>
  <w:style w:type="character" w:styleId="Strong">
    <w:name w:val="Strong"/>
    <w:basedOn w:val="DefaultParagraphFont"/>
    <w:uiPriority w:val="22"/>
    <w:qFormat/>
    <w:rsid w:val="00B04EEB"/>
    <w:rPr>
      <w:b/>
      <w:bCs/>
    </w:rPr>
  </w:style>
  <w:style w:type="paragraph" w:styleId="Revision">
    <w:name w:val="Revision"/>
    <w:hidden/>
    <w:uiPriority w:val="99"/>
    <w:semiHidden/>
    <w:rsid w:val="001D4336"/>
    <w:pPr>
      <w:spacing w:after="0" w:line="240" w:lineRule="auto"/>
    </w:pPr>
    <w:rPr>
      <w:rFonts w:ascii="Calibri" w:hAnsi="Calibri"/>
    </w:rPr>
  </w:style>
  <w:style w:type="character" w:customStyle="1" w:styleId="cf01">
    <w:name w:val="cf01"/>
    <w:basedOn w:val="DefaultParagraphFont"/>
    <w:rsid w:val="0082275E"/>
    <w:rPr>
      <w:rFonts w:ascii="Segoe UI" w:hAnsi="Segoe UI" w:cs="Segoe UI" w:hint="default"/>
      <w:sz w:val="18"/>
      <w:szCs w:val="18"/>
    </w:rPr>
  </w:style>
  <w:style w:type="paragraph" w:customStyle="1" w:styleId="Default">
    <w:name w:val="Default"/>
    <w:rsid w:val="00C71A98"/>
    <w:pPr>
      <w:autoSpaceDE w:val="0"/>
      <w:autoSpaceDN w:val="0"/>
      <w:adjustRightInd w:val="0"/>
      <w:spacing w:after="0" w:line="240" w:lineRule="auto"/>
    </w:pPr>
    <w:rPr>
      <w:rFonts w:ascii="Symbol" w:hAnsi="Symbol" w:cs="Symbol"/>
      <w:color w:val="000000"/>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8431712">
      <w:bodyDiv w:val="1"/>
      <w:marLeft w:val="0"/>
      <w:marRight w:val="0"/>
      <w:marTop w:val="0"/>
      <w:marBottom w:val="0"/>
      <w:divBdr>
        <w:top w:val="none" w:sz="0" w:space="0" w:color="auto"/>
        <w:left w:val="none" w:sz="0" w:space="0" w:color="auto"/>
        <w:bottom w:val="none" w:sz="0" w:space="0" w:color="auto"/>
        <w:right w:val="none" w:sz="0" w:space="0" w:color="auto"/>
      </w:divBdr>
    </w:div>
    <w:div w:id="160124082">
      <w:bodyDiv w:val="1"/>
      <w:marLeft w:val="0"/>
      <w:marRight w:val="0"/>
      <w:marTop w:val="0"/>
      <w:marBottom w:val="0"/>
      <w:divBdr>
        <w:top w:val="none" w:sz="0" w:space="0" w:color="auto"/>
        <w:left w:val="none" w:sz="0" w:space="0" w:color="auto"/>
        <w:bottom w:val="none" w:sz="0" w:space="0" w:color="auto"/>
        <w:right w:val="none" w:sz="0" w:space="0" w:color="auto"/>
      </w:divBdr>
    </w:div>
    <w:div w:id="494758182">
      <w:bodyDiv w:val="1"/>
      <w:marLeft w:val="0"/>
      <w:marRight w:val="0"/>
      <w:marTop w:val="0"/>
      <w:marBottom w:val="0"/>
      <w:divBdr>
        <w:top w:val="none" w:sz="0" w:space="0" w:color="auto"/>
        <w:left w:val="none" w:sz="0" w:space="0" w:color="auto"/>
        <w:bottom w:val="none" w:sz="0" w:space="0" w:color="auto"/>
        <w:right w:val="none" w:sz="0" w:space="0" w:color="auto"/>
      </w:divBdr>
    </w:div>
    <w:div w:id="797261415">
      <w:bodyDiv w:val="1"/>
      <w:marLeft w:val="0"/>
      <w:marRight w:val="0"/>
      <w:marTop w:val="0"/>
      <w:marBottom w:val="0"/>
      <w:divBdr>
        <w:top w:val="none" w:sz="0" w:space="0" w:color="auto"/>
        <w:left w:val="none" w:sz="0" w:space="0" w:color="auto"/>
        <w:bottom w:val="none" w:sz="0" w:space="0" w:color="auto"/>
        <w:right w:val="none" w:sz="0" w:space="0" w:color="auto"/>
      </w:divBdr>
      <w:divsChild>
        <w:div w:id="1232738167">
          <w:marLeft w:val="0"/>
          <w:marRight w:val="0"/>
          <w:marTop w:val="0"/>
          <w:marBottom w:val="0"/>
          <w:divBdr>
            <w:top w:val="none" w:sz="0" w:space="0" w:color="auto"/>
            <w:left w:val="none" w:sz="0" w:space="0" w:color="auto"/>
            <w:bottom w:val="none" w:sz="0" w:space="0" w:color="auto"/>
            <w:right w:val="none" w:sz="0" w:space="0" w:color="auto"/>
          </w:divBdr>
          <w:divsChild>
            <w:div w:id="2104256031">
              <w:marLeft w:val="0"/>
              <w:marRight w:val="0"/>
              <w:marTop w:val="0"/>
              <w:marBottom w:val="0"/>
              <w:divBdr>
                <w:top w:val="none" w:sz="0" w:space="0" w:color="auto"/>
                <w:left w:val="none" w:sz="0" w:space="0" w:color="auto"/>
                <w:bottom w:val="none" w:sz="0" w:space="0" w:color="auto"/>
                <w:right w:val="none" w:sz="0" w:space="0" w:color="auto"/>
              </w:divBdr>
              <w:divsChild>
                <w:div w:id="997802305">
                  <w:marLeft w:val="0"/>
                  <w:marRight w:val="0"/>
                  <w:marTop w:val="0"/>
                  <w:marBottom w:val="0"/>
                  <w:divBdr>
                    <w:top w:val="none" w:sz="0" w:space="0" w:color="auto"/>
                    <w:left w:val="none" w:sz="0" w:space="0" w:color="auto"/>
                    <w:bottom w:val="none" w:sz="0" w:space="0" w:color="auto"/>
                    <w:right w:val="none" w:sz="0" w:space="0" w:color="auto"/>
                  </w:divBdr>
                  <w:divsChild>
                    <w:div w:id="484509745">
                      <w:marLeft w:val="0"/>
                      <w:marRight w:val="0"/>
                      <w:marTop w:val="0"/>
                      <w:marBottom w:val="0"/>
                      <w:divBdr>
                        <w:top w:val="none" w:sz="0" w:space="0" w:color="auto"/>
                        <w:left w:val="none" w:sz="0" w:space="0" w:color="auto"/>
                        <w:bottom w:val="none" w:sz="0" w:space="0" w:color="auto"/>
                        <w:right w:val="none" w:sz="0" w:space="0" w:color="auto"/>
                      </w:divBdr>
                      <w:divsChild>
                        <w:div w:id="1011029001">
                          <w:marLeft w:val="0"/>
                          <w:marRight w:val="0"/>
                          <w:marTop w:val="0"/>
                          <w:marBottom w:val="0"/>
                          <w:divBdr>
                            <w:top w:val="none" w:sz="0" w:space="0" w:color="auto"/>
                            <w:left w:val="none" w:sz="0" w:space="0" w:color="auto"/>
                            <w:bottom w:val="none" w:sz="0" w:space="0" w:color="auto"/>
                            <w:right w:val="none" w:sz="0" w:space="0" w:color="auto"/>
                          </w:divBdr>
                          <w:divsChild>
                            <w:div w:id="1047266863">
                              <w:marLeft w:val="0"/>
                              <w:marRight w:val="0"/>
                              <w:marTop w:val="0"/>
                              <w:marBottom w:val="0"/>
                              <w:divBdr>
                                <w:top w:val="none" w:sz="0" w:space="0" w:color="auto"/>
                                <w:left w:val="none" w:sz="0" w:space="0" w:color="auto"/>
                                <w:bottom w:val="none" w:sz="0" w:space="0" w:color="auto"/>
                                <w:right w:val="none" w:sz="0" w:space="0" w:color="auto"/>
                              </w:divBdr>
                              <w:divsChild>
                                <w:div w:id="366757127">
                                  <w:marLeft w:val="0"/>
                                  <w:marRight w:val="0"/>
                                  <w:marTop w:val="0"/>
                                  <w:marBottom w:val="0"/>
                                  <w:divBdr>
                                    <w:top w:val="none" w:sz="0" w:space="0" w:color="auto"/>
                                    <w:left w:val="none" w:sz="0" w:space="0" w:color="auto"/>
                                    <w:bottom w:val="none" w:sz="0" w:space="0" w:color="auto"/>
                                    <w:right w:val="none" w:sz="0" w:space="0" w:color="auto"/>
                                  </w:divBdr>
                                  <w:divsChild>
                                    <w:div w:id="972826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43423057">
      <w:bodyDiv w:val="1"/>
      <w:marLeft w:val="0"/>
      <w:marRight w:val="0"/>
      <w:marTop w:val="0"/>
      <w:marBottom w:val="0"/>
      <w:divBdr>
        <w:top w:val="none" w:sz="0" w:space="0" w:color="auto"/>
        <w:left w:val="none" w:sz="0" w:space="0" w:color="auto"/>
        <w:bottom w:val="none" w:sz="0" w:space="0" w:color="auto"/>
        <w:right w:val="none" w:sz="0" w:space="0" w:color="auto"/>
      </w:divBdr>
    </w:div>
    <w:div w:id="1128428111">
      <w:bodyDiv w:val="1"/>
      <w:marLeft w:val="0"/>
      <w:marRight w:val="0"/>
      <w:marTop w:val="0"/>
      <w:marBottom w:val="0"/>
      <w:divBdr>
        <w:top w:val="none" w:sz="0" w:space="0" w:color="auto"/>
        <w:left w:val="none" w:sz="0" w:space="0" w:color="auto"/>
        <w:bottom w:val="none" w:sz="0" w:space="0" w:color="auto"/>
        <w:right w:val="none" w:sz="0" w:space="0" w:color="auto"/>
      </w:divBdr>
    </w:div>
    <w:div w:id="1165435146">
      <w:bodyDiv w:val="1"/>
      <w:marLeft w:val="0"/>
      <w:marRight w:val="0"/>
      <w:marTop w:val="0"/>
      <w:marBottom w:val="0"/>
      <w:divBdr>
        <w:top w:val="none" w:sz="0" w:space="0" w:color="auto"/>
        <w:left w:val="none" w:sz="0" w:space="0" w:color="auto"/>
        <w:bottom w:val="none" w:sz="0" w:space="0" w:color="auto"/>
        <w:right w:val="none" w:sz="0" w:space="0" w:color="auto"/>
      </w:divBdr>
      <w:divsChild>
        <w:div w:id="1243295579">
          <w:marLeft w:val="0"/>
          <w:marRight w:val="0"/>
          <w:marTop w:val="0"/>
          <w:marBottom w:val="0"/>
          <w:divBdr>
            <w:top w:val="none" w:sz="0" w:space="0" w:color="auto"/>
            <w:left w:val="none" w:sz="0" w:space="0" w:color="auto"/>
            <w:bottom w:val="none" w:sz="0" w:space="0" w:color="auto"/>
            <w:right w:val="none" w:sz="0" w:space="0" w:color="auto"/>
          </w:divBdr>
          <w:divsChild>
            <w:div w:id="1241983858">
              <w:marLeft w:val="0"/>
              <w:marRight w:val="0"/>
              <w:marTop w:val="0"/>
              <w:marBottom w:val="0"/>
              <w:divBdr>
                <w:top w:val="none" w:sz="0" w:space="0" w:color="auto"/>
                <w:left w:val="none" w:sz="0" w:space="0" w:color="auto"/>
                <w:bottom w:val="none" w:sz="0" w:space="0" w:color="auto"/>
                <w:right w:val="none" w:sz="0" w:space="0" w:color="auto"/>
              </w:divBdr>
              <w:divsChild>
                <w:div w:id="324940452">
                  <w:marLeft w:val="0"/>
                  <w:marRight w:val="0"/>
                  <w:marTop w:val="0"/>
                  <w:marBottom w:val="0"/>
                  <w:divBdr>
                    <w:top w:val="none" w:sz="0" w:space="0" w:color="auto"/>
                    <w:left w:val="none" w:sz="0" w:space="0" w:color="auto"/>
                    <w:bottom w:val="none" w:sz="0" w:space="0" w:color="auto"/>
                    <w:right w:val="none" w:sz="0" w:space="0" w:color="auto"/>
                  </w:divBdr>
                  <w:divsChild>
                    <w:div w:id="378870346">
                      <w:marLeft w:val="0"/>
                      <w:marRight w:val="0"/>
                      <w:marTop w:val="0"/>
                      <w:marBottom w:val="0"/>
                      <w:divBdr>
                        <w:top w:val="none" w:sz="0" w:space="0" w:color="auto"/>
                        <w:left w:val="none" w:sz="0" w:space="0" w:color="auto"/>
                        <w:bottom w:val="none" w:sz="0" w:space="0" w:color="auto"/>
                        <w:right w:val="none" w:sz="0" w:space="0" w:color="auto"/>
                      </w:divBdr>
                      <w:divsChild>
                        <w:div w:id="1439636999">
                          <w:marLeft w:val="0"/>
                          <w:marRight w:val="0"/>
                          <w:marTop w:val="0"/>
                          <w:marBottom w:val="0"/>
                          <w:divBdr>
                            <w:top w:val="none" w:sz="0" w:space="0" w:color="auto"/>
                            <w:left w:val="none" w:sz="0" w:space="0" w:color="auto"/>
                            <w:bottom w:val="none" w:sz="0" w:space="0" w:color="auto"/>
                            <w:right w:val="none" w:sz="0" w:space="0" w:color="auto"/>
                          </w:divBdr>
                          <w:divsChild>
                            <w:div w:id="414590070">
                              <w:marLeft w:val="0"/>
                              <w:marRight w:val="0"/>
                              <w:marTop w:val="0"/>
                              <w:marBottom w:val="0"/>
                              <w:divBdr>
                                <w:top w:val="none" w:sz="0" w:space="0" w:color="auto"/>
                                <w:left w:val="none" w:sz="0" w:space="0" w:color="auto"/>
                                <w:bottom w:val="none" w:sz="0" w:space="0" w:color="auto"/>
                                <w:right w:val="none" w:sz="0" w:space="0" w:color="auto"/>
                              </w:divBdr>
                              <w:divsChild>
                                <w:div w:id="1120420779">
                                  <w:marLeft w:val="0"/>
                                  <w:marRight w:val="0"/>
                                  <w:marTop w:val="0"/>
                                  <w:marBottom w:val="0"/>
                                  <w:divBdr>
                                    <w:top w:val="none" w:sz="0" w:space="0" w:color="auto"/>
                                    <w:left w:val="none" w:sz="0" w:space="0" w:color="auto"/>
                                    <w:bottom w:val="none" w:sz="0" w:space="0" w:color="auto"/>
                                    <w:right w:val="none" w:sz="0" w:space="0" w:color="auto"/>
                                  </w:divBdr>
                                  <w:divsChild>
                                    <w:div w:id="1415973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59020233">
      <w:bodyDiv w:val="1"/>
      <w:marLeft w:val="0"/>
      <w:marRight w:val="0"/>
      <w:marTop w:val="0"/>
      <w:marBottom w:val="0"/>
      <w:divBdr>
        <w:top w:val="none" w:sz="0" w:space="0" w:color="auto"/>
        <w:left w:val="none" w:sz="0" w:space="0" w:color="auto"/>
        <w:bottom w:val="none" w:sz="0" w:space="0" w:color="auto"/>
        <w:right w:val="none" w:sz="0" w:space="0" w:color="auto"/>
      </w:divBdr>
    </w:div>
    <w:div w:id="1288659132">
      <w:bodyDiv w:val="1"/>
      <w:marLeft w:val="0"/>
      <w:marRight w:val="0"/>
      <w:marTop w:val="0"/>
      <w:marBottom w:val="0"/>
      <w:divBdr>
        <w:top w:val="none" w:sz="0" w:space="0" w:color="auto"/>
        <w:left w:val="none" w:sz="0" w:space="0" w:color="auto"/>
        <w:bottom w:val="none" w:sz="0" w:space="0" w:color="auto"/>
        <w:right w:val="none" w:sz="0" w:space="0" w:color="auto"/>
      </w:divBdr>
    </w:div>
    <w:div w:id="1394892196">
      <w:bodyDiv w:val="1"/>
      <w:marLeft w:val="0"/>
      <w:marRight w:val="0"/>
      <w:marTop w:val="0"/>
      <w:marBottom w:val="0"/>
      <w:divBdr>
        <w:top w:val="none" w:sz="0" w:space="0" w:color="auto"/>
        <w:left w:val="none" w:sz="0" w:space="0" w:color="auto"/>
        <w:bottom w:val="none" w:sz="0" w:space="0" w:color="auto"/>
        <w:right w:val="none" w:sz="0" w:space="0" w:color="auto"/>
      </w:divBdr>
    </w:div>
    <w:div w:id="1657220641">
      <w:bodyDiv w:val="1"/>
      <w:marLeft w:val="0"/>
      <w:marRight w:val="0"/>
      <w:marTop w:val="0"/>
      <w:marBottom w:val="0"/>
      <w:divBdr>
        <w:top w:val="none" w:sz="0" w:space="0" w:color="auto"/>
        <w:left w:val="none" w:sz="0" w:space="0" w:color="auto"/>
        <w:bottom w:val="none" w:sz="0" w:space="0" w:color="auto"/>
        <w:right w:val="none" w:sz="0" w:space="0" w:color="auto"/>
      </w:divBdr>
    </w:div>
    <w:div w:id="1769619006">
      <w:bodyDiv w:val="1"/>
      <w:marLeft w:val="0"/>
      <w:marRight w:val="0"/>
      <w:marTop w:val="0"/>
      <w:marBottom w:val="0"/>
      <w:divBdr>
        <w:top w:val="none" w:sz="0" w:space="0" w:color="auto"/>
        <w:left w:val="none" w:sz="0" w:space="0" w:color="auto"/>
        <w:bottom w:val="none" w:sz="0" w:space="0" w:color="auto"/>
        <w:right w:val="none" w:sz="0" w:space="0" w:color="auto"/>
      </w:divBdr>
    </w:div>
    <w:div w:id="1821655927">
      <w:bodyDiv w:val="1"/>
      <w:marLeft w:val="0"/>
      <w:marRight w:val="0"/>
      <w:marTop w:val="0"/>
      <w:marBottom w:val="0"/>
      <w:divBdr>
        <w:top w:val="none" w:sz="0" w:space="0" w:color="auto"/>
        <w:left w:val="none" w:sz="0" w:space="0" w:color="auto"/>
        <w:bottom w:val="none" w:sz="0" w:space="0" w:color="auto"/>
        <w:right w:val="none" w:sz="0" w:space="0" w:color="auto"/>
      </w:divBdr>
    </w:div>
    <w:div w:id="1903444993">
      <w:bodyDiv w:val="1"/>
      <w:marLeft w:val="0"/>
      <w:marRight w:val="0"/>
      <w:marTop w:val="0"/>
      <w:marBottom w:val="0"/>
      <w:divBdr>
        <w:top w:val="none" w:sz="0" w:space="0" w:color="auto"/>
        <w:left w:val="none" w:sz="0" w:space="0" w:color="auto"/>
        <w:bottom w:val="none" w:sz="0" w:space="0" w:color="auto"/>
        <w:right w:val="none" w:sz="0" w:space="0" w:color="auto"/>
      </w:divBdr>
    </w:div>
    <w:div w:id="1905950677">
      <w:bodyDiv w:val="1"/>
      <w:marLeft w:val="0"/>
      <w:marRight w:val="0"/>
      <w:marTop w:val="0"/>
      <w:marBottom w:val="0"/>
      <w:divBdr>
        <w:top w:val="none" w:sz="0" w:space="0" w:color="auto"/>
        <w:left w:val="none" w:sz="0" w:space="0" w:color="auto"/>
        <w:bottom w:val="none" w:sz="0" w:space="0" w:color="auto"/>
        <w:right w:val="none" w:sz="0" w:space="0" w:color="auto"/>
      </w:divBdr>
    </w:div>
    <w:div w:id="1937133842">
      <w:bodyDiv w:val="1"/>
      <w:marLeft w:val="0"/>
      <w:marRight w:val="0"/>
      <w:marTop w:val="0"/>
      <w:marBottom w:val="0"/>
      <w:divBdr>
        <w:top w:val="none" w:sz="0" w:space="0" w:color="auto"/>
        <w:left w:val="none" w:sz="0" w:space="0" w:color="auto"/>
        <w:bottom w:val="none" w:sz="0" w:space="0" w:color="auto"/>
        <w:right w:val="none" w:sz="0" w:space="0" w:color="auto"/>
      </w:divBdr>
    </w:div>
    <w:div w:id="1973631181">
      <w:bodyDiv w:val="1"/>
      <w:marLeft w:val="0"/>
      <w:marRight w:val="0"/>
      <w:marTop w:val="0"/>
      <w:marBottom w:val="0"/>
      <w:divBdr>
        <w:top w:val="none" w:sz="0" w:space="0" w:color="auto"/>
        <w:left w:val="none" w:sz="0" w:space="0" w:color="auto"/>
        <w:bottom w:val="none" w:sz="0" w:space="0" w:color="auto"/>
        <w:right w:val="none" w:sz="0" w:space="0" w:color="auto"/>
      </w:divBdr>
    </w:div>
    <w:div w:id="2061830386">
      <w:bodyDiv w:val="1"/>
      <w:marLeft w:val="0"/>
      <w:marRight w:val="0"/>
      <w:marTop w:val="0"/>
      <w:marBottom w:val="0"/>
      <w:divBdr>
        <w:top w:val="none" w:sz="0" w:space="0" w:color="auto"/>
        <w:left w:val="none" w:sz="0" w:space="0" w:color="auto"/>
        <w:bottom w:val="none" w:sz="0" w:space="0" w:color="auto"/>
        <w:right w:val="none" w:sz="0" w:space="0" w:color="auto"/>
      </w:divBdr>
    </w:div>
    <w:div w:id="206405893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RelyOnCSS/>
  <w:doNotOrganizeInFolder/>
  <w:doNotUseLongFileNames/>
  <w:pixelsPerInch w:val="0"/>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eader" Target="header5.xml"/><Relationship Id="rId26" Type="http://schemas.openxmlformats.org/officeDocument/2006/relationships/image" Target="media/image5.emf"/><Relationship Id="rId3" Type="http://schemas.openxmlformats.org/officeDocument/2006/relationships/customXml" Target="../customXml/item3.xml"/><Relationship Id="rId21" Type="http://schemas.openxmlformats.org/officeDocument/2006/relationships/header" Target="header7.xml"/><Relationship Id="rId34" Type="http://schemas.openxmlformats.org/officeDocument/2006/relationships/header" Target="header12.xml"/><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header" Target="header4.xml"/><Relationship Id="rId25" Type="http://schemas.openxmlformats.org/officeDocument/2006/relationships/image" Target="media/image4.png"/><Relationship Id="rId33" Type="http://schemas.openxmlformats.org/officeDocument/2006/relationships/footer" Target="footer5.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header" Target="header6.xml"/><Relationship Id="rId29"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eader" Target="header9.xml"/><Relationship Id="rId32" Type="http://schemas.openxmlformats.org/officeDocument/2006/relationships/header" Target="header11.xm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footer" Target="footer4.xml"/><Relationship Id="rId28" Type="http://schemas.openxmlformats.org/officeDocument/2006/relationships/image" Target="media/image7.png"/><Relationship Id="rId36"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footer" Target="footer3.xml"/><Relationship Id="rId31" Type="http://schemas.openxmlformats.org/officeDocument/2006/relationships/header" Target="header10.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header" Target="header8.xml"/><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fontTable" Target="fontTable.xml"/><Relationship Id="rId8" Type="http://schemas.openxmlformats.org/officeDocument/2006/relationships/webSettings" Target="webSettings.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3" Type="http://schemas.openxmlformats.org/officeDocument/2006/relationships/hyperlink" Target="https://unsplash.com/@rollzint?utm_content=creditCopyText&amp;utm_medium=referral&amp;utm_source=unsplash" TargetMode="External"/><Relationship Id="rId2" Type="http://schemas.openxmlformats.org/officeDocument/2006/relationships/hyperlink" Target="http://www.nzier.org.nz" TargetMode="External"/><Relationship Id="rId1" Type="http://schemas.openxmlformats.org/officeDocument/2006/relationships/hyperlink" Target="mailto:econ@nzier.org.nz" TargetMode="External"/><Relationship Id="rId6" Type="http://schemas.openxmlformats.org/officeDocument/2006/relationships/image" Target="media/image2.png"/><Relationship Id="rId5" Type="http://schemas.openxmlformats.org/officeDocument/2006/relationships/hyperlink" Target="http://www.nzier.org.nz" TargetMode="External"/><Relationship Id="rId4" Type="http://schemas.openxmlformats.org/officeDocument/2006/relationships/hyperlink" Target="https://unsplash.com/photos/a-woman-in-a-pink-dress-pushing-a-pink-walker-RfoA40cidgc?utm_content=creditCopyText&amp;utm_medium=referral&amp;utm_source=unsplash" TargetMode="External"/></Relationships>
</file>

<file path=word/_rels/footer4.xml.rels><?xml version="1.0" encoding="UTF-8" standalone="yes"?>
<Relationships xmlns="http://schemas.openxmlformats.org/package/2006/relationships"><Relationship Id="rId1" Type="http://schemas.openxmlformats.org/officeDocument/2006/relationships/image" Target="media/image2.png"/></Relationships>
</file>

<file path=word/_rels/footer5.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MJ 2013 Theme">
  <a:themeElements>
    <a:clrScheme name="NZIER Colour Palette Brand Colours">
      <a:dk1>
        <a:srgbClr val="30353F"/>
      </a:dk1>
      <a:lt1>
        <a:srgbClr val="FFFFFF"/>
      </a:lt1>
      <a:dk2>
        <a:srgbClr val="000000"/>
      </a:dk2>
      <a:lt2>
        <a:srgbClr val="FFFFFF"/>
      </a:lt2>
      <a:accent1>
        <a:srgbClr val="0094C5"/>
      </a:accent1>
      <a:accent2>
        <a:srgbClr val="E5006D"/>
      </a:accent2>
      <a:accent3>
        <a:srgbClr val="2C2276"/>
      </a:accent3>
      <a:accent4>
        <a:srgbClr val="7B1244"/>
      </a:accent4>
      <a:accent5>
        <a:srgbClr val="AFCA0B"/>
      </a:accent5>
      <a:accent6>
        <a:srgbClr val="3AAA35"/>
      </a:accent6>
      <a:hlink>
        <a:srgbClr val="0094C5"/>
      </a:hlink>
      <a:folHlink>
        <a:srgbClr val="9D9D9D"/>
      </a:folHlink>
    </a:clrScheme>
    <a:fontScheme name="MJ Fonts">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Subactivity xmlns="4f9c820c-e7e2-444d-97ee-45f2b3485c1d">Report</Subactivity>
    <BusinessValue xmlns="4f9c820c-e7e2-444d-97ee-45f2b3485c1d">Normal</BusinessValue>
    <PRADateDisposal xmlns="4f9c820c-e7e2-444d-97ee-45f2b3485c1d" xsi:nil="true"/>
    <PRADate3 xmlns="4f9c820c-e7e2-444d-97ee-45f2b3485c1d" xsi:nil="true"/>
    <PRAText5 xmlns="4f9c820c-e7e2-444d-97ee-45f2b3485c1d" xsi:nil="true"/>
    <Activity xmlns="4f9c820c-e7e2-444d-97ee-45f2b3485c1d">Government</Activity>
    <AggregationStatus xmlns="4f9c820c-e7e2-444d-97ee-45f2b3485c1d">Normal</AggregationStatus>
    <CategoryValue xmlns="4f9c820c-e7e2-444d-97ee-45f2b3485c1d">Reports</CategoryValue>
    <Subtype xmlns="4f9c820c-e7e2-444d-97ee-45f2b3485c1d" xsi:nil="true"/>
    <PRADate2 xmlns="4f9c820c-e7e2-444d-97ee-45f2b3485c1d" xsi:nil="true"/>
    <PRAText1 xmlns="4f9c820c-e7e2-444d-97ee-45f2b3485c1d" xsi:nil="true"/>
    <PRAText4 xmlns="4f9c820c-e7e2-444d-97ee-45f2b3485c1d" xsi:nil="true"/>
    <Project xmlns="4f9c820c-e7e2-444d-97ee-45f2b3485c1d">Update the Valuing Access to Work report</Project>
    <FunctionGroup xmlns="4f9c820c-e7e2-444d-97ee-45f2b3485c1d">Not yet defined</FunctionGroup>
    <Function xmlns="4f9c820c-e7e2-444d-97ee-45f2b3485c1d">Projects</Function>
    <RelatedPeople xmlns="4f9c820c-e7e2-444d-97ee-45f2b3485c1d">
      <UserInfo>
        <DisplayName/>
        <AccountId xsi:nil="true"/>
        <AccountType/>
      </UserInfo>
    </RelatedPeople>
    <PRAType xmlns="4f9c820c-e7e2-444d-97ee-45f2b3485c1d">Doc</PRAType>
    <PRADate1 xmlns="4f9c820c-e7e2-444d-97ee-45f2b3485c1d" xsi:nil="true"/>
    <DocumentType xmlns="4f9c820c-e7e2-444d-97ee-45f2b3485c1d">REPORT, Client report</DocumentType>
    <PRAText3 xmlns="4f9c820c-e7e2-444d-97ee-45f2b3485c1d" xsi:nil="true"/>
    <Narrative xmlns="4f9c820c-e7e2-444d-97ee-45f2b3485c1d">Naming convention: NZIER report to (client), Title of report, date</Narrative>
    <CategoryName xmlns="4f9c820c-e7e2-444d-97ee-45f2b3485c1d">Client Work</CategoryName>
    <PRADateTrigger xmlns="4f9c820c-e7e2-444d-97ee-45f2b3485c1d" xsi:nil="true"/>
    <PRAText2 xmlns="4f9c820c-e7e2-444d-97ee-45f2b3485c1d" xsi:nil="true"/>
    <Case xmlns="3c0fc738-43e6-44bc-8831-8ec3c4d0d4da">Whaikaha</Case>
    <ProposalNo xmlns="3c0fc738-43e6-44bc-8831-8ec3c4d0d4da" xsi:nil="true"/>
    <JobNo xmlns="3c0fc738-43e6-44bc-8831-8ec3c4d0d4da">15666 15559</JobNo>
    <lcf76f155ced4ddcb4097134ff3c332f xmlns="cd90e377-861b-43d5-bcac-99ff05a82b81">
      <Terms xmlns="http://schemas.microsoft.com/office/infopath/2007/PartnerControls"/>
    </lcf76f155ced4ddcb4097134ff3c332f>
    <TaxCatchAll xmlns="5e7812cd-94f3-46ad-9f94-f1b53aec8606" xsi:nil="true"/>
  </documentManagement>
</p:properties>
</file>

<file path=customXml/item3.xml><?xml version="1.0" encoding="utf-8"?>
<ct:contentTypeSchema xmlns:ct="http://schemas.microsoft.com/office/2006/metadata/contentType" xmlns:ma="http://schemas.microsoft.com/office/2006/metadata/properties/metaAttributes" ct:_="" ma:_="" ma:contentTypeName="eDocument" ma:contentTypeID="0x010100210068E24094A342933D3709119DA7630062DA8F047A04B14DA7D033C7DB899833" ma:contentTypeVersion="53" ma:contentTypeDescription="Create a new document." ma:contentTypeScope="" ma:versionID="8ede462ba5dd4bbd9ab31b6c663aa47c">
  <xsd:schema xmlns:xsd="http://www.w3.org/2001/XMLSchema" xmlns:xs="http://www.w3.org/2001/XMLSchema" xmlns:p="http://schemas.microsoft.com/office/2006/metadata/properties" xmlns:ns2="4f9c820c-e7e2-444d-97ee-45f2b3485c1d" xmlns:ns3="3c0fc738-43e6-44bc-8831-8ec3c4d0d4da" xmlns:ns4="cd90e377-861b-43d5-bcac-99ff05a82b81" xmlns:ns5="5e7812cd-94f3-46ad-9f94-f1b53aec8606" targetNamespace="http://schemas.microsoft.com/office/2006/metadata/properties" ma:root="true" ma:fieldsID="040e948bbdef8c0389063c216424d69d" ns2:_="" ns3:_="" ns4:_="" ns5:_="">
    <xsd:import namespace="4f9c820c-e7e2-444d-97ee-45f2b3485c1d"/>
    <xsd:import namespace="3c0fc738-43e6-44bc-8831-8ec3c4d0d4da"/>
    <xsd:import namespace="cd90e377-861b-43d5-bcac-99ff05a82b81"/>
    <xsd:import namespace="5e7812cd-94f3-46ad-9f94-f1b53aec8606"/>
    <xsd:element name="properties">
      <xsd:complexType>
        <xsd:sequence>
          <xsd:element name="documentManagement">
            <xsd:complexType>
              <xsd:all>
                <xsd:element ref="ns2:DocumentType" minOccurs="0"/>
                <xsd:element ref="ns2:Narrative" minOccurs="0"/>
                <xsd:element ref="ns2:RelatedPeople" minOccurs="0"/>
                <xsd:element ref="ns2:Activity" minOccurs="0"/>
                <xsd:element ref="ns2:Subactivity" minOccurs="0"/>
                <xsd:element ref="ns2:Project" minOccurs="0"/>
                <xsd:element ref="ns2:CategoryName" minOccurs="0"/>
                <xsd:element ref="ns2:CategoryValue" minOccurs="0"/>
                <xsd:element ref="ns2:BusinessValue" minOccurs="0"/>
                <xsd:element ref="ns2:Subtype" minOccurs="0"/>
                <xsd:element ref="ns2:FunctionGroup" minOccurs="0"/>
                <xsd:element ref="ns2:PRAType" minOccurs="0"/>
                <xsd:element ref="ns2:PRADate1" minOccurs="0"/>
                <xsd:element ref="ns2:PRADate2" minOccurs="0"/>
                <xsd:element ref="ns2:PRADate3" minOccurs="0"/>
                <xsd:element ref="ns2:PRADateDisposal" minOccurs="0"/>
                <xsd:element ref="ns2:PRADateTrigger" minOccurs="0"/>
                <xsd:element ref="ns2:PRAText1" minOccurs="0"/>
                <xsd:element ref="ns2:PRAText2" minOccurs="0"/>
                <xsd:element ref="ns2:PRAText3" minOccurs="0"/>
                <xsd:element ref="ns2:PRAText4" minOccurs="0"/>
                <xsd:element ref="ns2:PRAText5" minOccurs="0"/>
                <xsd:element ref="ns2:AggregationStatus" minOccurs="0"/>
                <xsd:element ref="ns2:Function" minOccurs="0"/>
                <xsd:element ref="ns3:JobNo" minOccurs="0"/>
                <xsd:element ref="ns3:ProposalNo" minOccurs="0"/>
                <xsd:element ref="ns3:Case" minOccurs="0"/>
                <xsd:element ref="ns4:MediaServiceMetadata" minOccurs="0"/>
                <xsd:element ref="ns4:MediaServiceFastMetadata"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5:SharedWithUsers" minOccurs="0"/>
                <xsd:element ref="ns5:SharedWithDetails" minOccurs="0"/>
                <xsd:element ref="ns4:MediaServiceLocation" minOccurs="0"/>
                <xsd:element ref="ns4:MediaServiceAutoKeyPoints" minOccurs="0"/>
                <xsd:element ref="ns4:MediaServiceKeyPoints" minOccurs="0"/>
                <xsd:element ref="ns4:lcf76f155ced4ddcb4097134ff3c332f" minOccurs="0"/>
                <xsd:element ref="ns5:TaxCatchAll" minOccurs="0"/>
                <xsd:element ref="ns4:MediaLengthInSeconds" minOccurs="0"/>
                <xsd:element ref="ns4:MediaServiceObjectDetectorVersions" minOccurs="0"/>
                <xsd:element ref="ns4: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f9c820c-e7e2-444d-97ee-45f2b3485c1d" elementFormDefault="qualified">
    <xsd:import namespace="http://schemas.microsoft.com/office/2006/documentManagement/types"/>
    <xsd:import namespace="http://schemas.microsoft.com/office/infopath/2007/PartnerControls"/>
    <xsd:element name="DocumentType" ma:index="8" nillable="true" ma:displayName="Document Type" ma:format="Dropdown" ma:internalName="DocumentType">
      <xsd:simpleType>
        <xsd:restriction base="dms:Choice">
          <xsd:enumeration value="CONTRACT, Variation, Agreement"/>
          <xsd:enumeration value="CORRESPONDENCE"/>
          <xsd:enumeration value="EMPLOYMENT related"/>
          <xsd:enumeration value="FINANCIAL related"/>
          <xsd:enumeration value="KNOWLEDGE, article, literature"/>
          <xsd:enumeration value="MEETING related"/>
          <xsd:enumeration value="MEMO, Filenote, Email"/>
          <xsd:enumeration value="MODEL, Calculation"/>
          <xsd:enumeration value="DATA"/>
          <xsd:enumeration value="PHOTO, Image or Multi-media"/>
          <xsd:enumeration value="PRESENTATION"/>
          <xsd:enumeration value="PUBLICATION, membership"/>
          <xsd:enumeration value="PUBLICATION, PG"/>
          <xsd:enumeration value="REPORT, Client report"/>
          <xsd:enumeration value="PROPOSAL, Memo-style proposal"/>
          <xsd:enumeration value="RULES, Policy, procedure"/>
          <xsd:enumeration value="TEMPLATE, Checklist or Form"/>
        </xsd:restriction>
      </xsd:simpleType>
    </xsd:element>
    <xsd:element name="Narrative" ma:index="9" nillable="true" ma:displayName="Narrative" ma:internalName="Narrative" ma:readOnly="false">
      <xsd:simpleType>
        <xsd:restriction base="dms:Note">
          <xsd:maxLength value="255"/>
        </xsd:restriction>
      </xsd:simpleType>
    </xsd:element>
    <xsd:element name="RelatedPeople" ma:index="10" nillable="true" ma:displayName="Related People" ma:list="UserInfo" ma:SharePointGroup="0" ma:internalName="RelatedPeople" ma:readOnly="fals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ctivity" ma:index="11" nillable="true" ma:displayName="Activity" ma:default="Government" ma:format="Dropdown" ma:internalName="Activity">
      <xsd:simpleType>
        <xsd:union memberTypes="dms:Text">
          <xsd:simpleType>
            <xsd:restriction base="dms:Choice">
              <xsd:enumeration value="Government"/>
            </xsd:restriction>
          </xsd:simpleType>
        </xsd:union>
      </xsd:simpleType>
    </xsd:element>
    <xsd:element name="Subactivity" ma:index="12" nillable="true" ma:displayName="Subactivity" ma:format="Dropdown" ma:hidden="true" ma:internalName="Subactivity" ma:readOnly="false">
      <xsd:simpleType>
        <xsd:union memberTypes="dms:Text">
          <xsd:simpleType>
            <xsd:restriction base="dms:Choice">
              <xsd:enumeration value="Project management"/>
              <xsd:enumeration value="Data"/>
              <xsd:enumeration value="Modelling"/>
              <xsd:enumeration value="Literature"/>
              <xsd:enumeration value="Draft deliverables"/>
              <xsd:enumeration value="Final deliverables"/>
            </xsd:restriction>
          </xsd:simpleType>
        </xsd:union>
      </xsd:simpleType>
    </xsd:element>
    <xsd:element name="Project" ma:index="13" nillable="true" ma:displayName="Project" ma:hidden="true" ma:internalName="Project" ma:readOnly="false">
      <xsd:simpleType>
        <xsd:restriction base="dms:Text">
          <xsd:maxLength value="255"/>
        </xsd:restriction>
      </xsd:simpleType>
    </xsd:element>
    <xsd:element name="CategoryName" ma:index="14" nillable="true" ma:displayName="Category Name" ma:hidden="true" ma:internalName="CategoryName" ma:readOnly="false">
      <xsd:simpleType>
        <xsd:restriction base="dms:Text">
          <xsd:maxLength value="255"/>
        </xsd:restriction>
      </xsd:simpleType>
    </xsd:element>
    <xsd:element name="CategoryValue" ma:index="15" nillable="true" ma:displayName="Category Value" ma:hidden="true" ma:internalName="CategoryValue" ma:readOnly="false">
      <xsd:simpleType>
        <xsd:restriction base="dms:Text">
          <xsd:maxLength value="255"/>
        </xsd:restriction>
      </xsd:simpleType>
    </xsd:element>
    <xsd:element name="BusinessValue" ma:index="16" nillable="true" ma:displayName="Business Value" ma:default="Normal" ma:format="Dropdown" ma:hidden="true" ma:internalName="BusinessValue" ma:readOnly="false">
      <xsd:simpleType>
        <xsd:restriction base="dms:Choice">
          <xsd:enumeration value="Normal"/>
          <xsd:enumeration value="Long Term Value"/>
          <xsd:enumeration value="Housekeeping"/>
          <xsd:enumeration value="Deleted"/>
        </xsd:restriction>
      </xsd:simpleType>
    </xsd:element>
    <xsd:element name="Subtype" ma:index="17" nillable="true" ma:displayName="Subtype" ma:format="Dropdown" ma:hidden="true" ma:internalName="Subtype" ma:readOnly="false">
      <xsd:simpleType>
        <xsd:restriction base="dms:Choice">
          <xsd:enumeration value="Policy"/>
          <xsd:enumeration value="Process"/>
          <xsd:enumeration value="Procedure"/>
          <xsd:enumeration value="Guideline"/>
          <xsd:enumeration value="Form"/>
          <xsd:enumeration value="Template"/>
          <xsd:enumeration value="Workflow Diagram"/>
        </xsd:restriction>
      </xsd:simpleType>
    </xsd:element>
    <xsd:element name="FunctionGroup" ma:index="18" nillable="true" ma:displayName="Function Group" ma:default="Not yet defined" ma:format="RadioButtons" ma:hidden="true" ma:internalName="FunctionGroup" ma:readOnly="false">
      <xsd:simpleType>
        <xsd:union memberTypes="dms:Text">
          <xsd:simpleType>
            <xsd:restriction base="dms:Choice">
              <xsd:enumeration value="Not yet defined"/>
            </xsd:restriction>
          </xsd:simpleType>
        </xsd:union>
      </xsd:simpleType>
    </xsd:element>
    <xsd:element name="PRAType" ma:index="19" nillable="true" ma:displayName="PRAType" ma:default="Doc" ma:indexed="true" ma:internalName="PRAType">
      <xsd:simpleType>
        <xsd:restriction base="dms:Text">
          <xsd:maxLength value="255"/>
        </xsd:restriction>
      </xsd:simpleType>
    </xsd:element>
    <xsd:element name="PRADate1" ma:index="20" nillable="true" ma:displayName="PRADate1" ma:format="DateOnly" ma:hidden="true" ma:internalName="PRADate1" ma:readOnly="false">
      <xsd:simpleType>
        <xsd:restriction base="dms:DateTime"/>
      </xsd:simpleType>
    </xsd:element>
    <xsd:element name="PRADate2" ma:index="21" nillable="true" ma:displayName="PRADate2" ma:format="DateOnly" ma:hidden="true" ma:internalName="PRADate2" ma:readOnly="false">
      <xsd:simpleType>
        <xsd:restriction base="dms:DateTime"/>
      </xsd:simpleType>
    </xsd:element>
    <xsd:element name="PRADate3" ma:index="22" nillable="true" ma:displayName="PRADate3" ma:format="DateOnly" ma:hidden="true" ma:internalName="PRADate3" ma:readOnly="false">
      <xsd:simpleType>
        <xsd:restriction base="dms:DateTime"/>
      </xsd:simpleType>
    </xsd:element>
    <xsd:element name="PRADateDisposal" ma:index="23" nillable="true" ma:displayName="PRADateDisposal" ma:format="DateOnly" ma:hidden="true" ma:internalName="PRADateDisposal" ma:readOnly="false">
      <xsd:simpleType>
        <xsd:restriction base="dms:DateTime"/>
      </xsd:simpleType>
    </xsd:element>
    <xsd:element name="PRADateTrigger" ma:index="24" nillable="true" ma:displayName="PRADateTrigger" ma:format="DateOnly" ma:hidden="true" ma:internalName="PRADateTrigger" ma:readOnly="false">
      <xsd:simpleType>
        <xsd:restriction base="dms:DateTime"/>
      </xsd:simpleType>
    </xsd:element>
    <xsd:element name="PRAText1" ma:index="25" nillable="true" ma:displayName="PRAText1" ma:hidden="true" ma:internalName="PRAText1" ma:readOnly="false">
      <xsd:simpleType>
        <xsd:restriction base="dms:Text">
          <xsd:maxLength value="255"/>
        </xsd:restriction>
      </xsd:simpleType>
    </xsd:element>
    <xsd:element name="PRAText2" ma:index="26" nillable="true" ma:displayName="PRAText2" ma:hidden="true" ma:internalName="PRAText2" ma:readOnly="false">
      <xsd:simpleType>
        <xsd:restriction base="dms:Text">
          <xsd:maxLength value="255"/>
        </xsd:restriction>
      </xsd:simpleType>
    </xsd:element>
    <xsd:element name="PRAText3" ma:index="27" nillable="true" ma:displayName="PRAText3" ma:hidden="true" ma:internalName="PRAText3" ma:readOnly="false">
      <xsd:simpleType>
        <xsd:restriction base="dms:Text">
          <xsd:maxLength value="255"/>
        </xsd:restriction>
      </xsd:simpleType>
    </xsd:element>
    <xsd:element name="PRAText4" ma:index="28" nillable="true" ma:displayName="PRAText4" ma:hidden="true" ma:internalName="PRAText4" ma:readOnly="false">
      <xsd:simpleType>
        <xsd:restriction base="dms:Text">
          <xsd:maxLength value="255"/>
        </xsd:restriction>
      </xsd:simpleType>
    </xsd:element>
    <xsd:element name="PRAText5" ma:index="29" nillable="true" ma:displayName="PRAText5" ma:hidden="true" ma:internalName="PRAText5" ma:readOnly="false">
      <xsd:simpleType>
        <xsd:restriction base="dms:Text">
          <xsd:maxLength value="255"/>
        </xsd:restriction>
      </xsd:simpleType>
    </xsd:element>
    <xsd:element name="AggregationStatus" ma:index="30" nillable="true" ma:displayName="Aggregation Status" ma:default="Normal" ma:format="Dropdown" ma:hidden="true" ma:internalName="AggregationStatus" ma:readOnly="false">
      <xsd:simpleType>
        <xsd:restriction base="dms:Choice">
          <xsd:enumeration value="Delete Soon"/>
          <xsd:enumeration value="Transfer Soon"/>
          <xsd:enumeration value="Appraise Soon"/>
          <xsd:enumeration value="Delete"/>
          <xsd:enumeration value="Transfer"/>
          <xsd:enumeration value="Appraise"/>
          <xsd:enumeration value="Hold"/>
          <xsd:enumeration value="Normal"/>
        </xsd:restriction>
      </xsd:simpleType>
    </xsd:element>
    <xsd:element name="Function" ma:index="31" nillable="true" ma:displayName="Function" ma:default="Projects" ma:format="RadioButtons" ma:hidden="true" ma:internalName="Function" ma:readOnly="false">
      <xsd:simpleType>
        <xsd:union memberTypes="dms:Text">
          <xsd:simpleType>
            <xsd:restriction base="dms:Choice">
              <xsd:enumeration value="Projects"/>
            </xsd:restriction>
          </xsd:simpleType>
        </xsd:union>
      </xsd:simpleType>
    </xsd:element>
  </xsd:schema>
  <xsd:schema xmlns:xsd="http://www.w3.org/2001/XMLSchema" xmlns:xs="http://www.w3.org/2001/XMLSchema" xmlns:dms="http://schemas.microsoft.com/office/2006/documentManagement/types" xmlns:pc="http://schemas.microsoft.com/office/infopath/2007/PartnerControls" targetNamespace="3c0fc738-43e6-44bc-8831-8ec3c4d0d4da" elementFormDefault="qualified">
    <xsd:import namespace="http://schemas.microsoft.com/office/2006/documentManagement/types"/>
    <xsd:import namespace="http://schemas.microsoft.com/office/infopath/2007/PartnerControls"/>
    <xsd:element name="JobNo" ma:index="32" nillable="true" ma:displayName="Job Number" ma:hidden="true" ma:internalName="JobNo" ma:readOnly="false">
      <xsd:simpleType>
        <xsd:restriction base="dms:Text">
          <xsd:maxLength value="255"/>
        </xsd:restriction>
      </xsd:simpleType>
    </xsd:element>
    <xsd:element name="ProposalNo" ma:index="33" nillable="true" ma:displayName="Proposal Number" ma:hidden="true" ma:internalName="ProposalNo" ma:readOnly="false">
      <xsd:simpleType>
        <xsd:restriction base="dms:Text">
          <xsd:maxLength value="255"/>
        </xsd:restriction>
      </xsd:simpleType>
    </xsd:element>
    <xsd:element name="Case" ma:index="34" nillable="true" ma:displayName="Client Name" ma:hidden="true" ma:internalName="Case"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d90e377-861b-43d5-bcac-99ff05a82b81" elementFormDefault="qualified">
    <xsd:import namespace="http://schemas.microsoft.com/office/2006/documentManagement/types"/>
    <xsd:import namespace="http://schemas.microsoft.com/office/infopath/2007/PartnerControls"/>
    <xsd:element name="MediaServiceMetadata" ma:index="35" nillable="true" ma:displayName="MediaServiceMetadata" ma:hidden="true" ma:internalName="MediaServiceMetadata" ma:readOnly="true">
      <xsd:simpleType>
        <xsd:restriction base="dms:Note"/>
      </xsd:simpleType>
    </xsd:element>
    <xsd:element name="MediaServiceFastMetadata" ma:index="36" nillable="true" ma:displayName="MediaServiceFastMetadata" ma:hidden="true" ma:internalName="MediaServiceFastMetadata" ma:readOnly="true">
      <xsd:simpleType>
        <xsd:restriction base="dms:Note"/>
      </xsd:simpleType>
    </xsd:element>
    <xsd:element name="MediaServiceAutoTags" ma:index="37" nillable="true" ma:displayName="Tags" ma:internalName="MediaServiceAutoTags" ma:readOnly="true">
      <xsd:simpleType>
        <xsd:restriction base="dms:Text"/>
      </xsd:simpleType>
    </xsd:element>
    <xsd:element name="MediaServiceOCR" ma:index="38" nillable="true" ma:displayName="Extracted Text" ma:internalName="MediaServiceOCR" ma:readOnly="true">
      <xsd:simpleType>
        <xsd:restriction base="dms:Note">
          <xsd:maxLength value="255"/>
        </xsd:restriction>
      </xsd:simpleType>
    </xsd:element>
    <xsd:element name="MediaServiceGenerationTime" ma:index="39" nillable="true" ma:displayName="MediaServiceGenerationTime" ma:hidden="true" ma:internalName="MediaServiceGenerationTime" ma:readOnly="true">
      <xsd:simpleType>
        <xsd:restriction base="dms:Text"/>
      </xsd:simpleType>
    </xsd:element>
    <xsd:element name="MediaServiceEventHashCode" ma:index="40" nillable="true" ma:displayName="MediaServiceEventHashCode" ma:hidden="true" ma:internalName="MediaServiceEventHashCode" ma:readOnly="true">
      <xsd:simpleType>
        <xsd:restriction base="dms:Text"/>
      </xsd:simpleType>
    </xsd:element>
    <xsd:element name="MediaServiceDateTaken" ma:index="41" nillable="true" ma:displayName="MediaServiceDateTaken" ma:hidden="true" ma:internalName="MediaServiceDateTaken" ma:readOnly="true">
      <xsd:simpleType>
        <xsd:restriction base="dms:Text"/>
      </xsd:simpleType>
    </xsd:element>
    <xsd:element name="MediaServiceLocation" ma:index="44" nillable="true" ma:displayName="Location" ma:internalName="MediaServiceLocation" ma:readOnly="true">
      <xsd:simpleType>
        <xsd:restriction base="dms:Text"/>
      </xsd:simpleType>
    </xsd:element>
    <xsd:element name="MediaServiceAutoKeyPoints" ma:index="45" nillable="true" ma:displayName="MediaServiceAutoKeyPoints" ma:hidden="true" ma:internalName="MediaServiceAutoKeyPoints" ma:readOnly="true">
      <xsd:simpleType>
        <xsd:restriction base="dms:Note"/>
      </xsd:simpleType>
    </xsd:element>
    <xsd:element name="MediaServiceKeyPoints" ma:index="46" nillable="true" ma:displayName="KeyPoints" ma:internalName="MediaServiceKeyPoints" ma:readOnly="true">
      <xsd:simpleType>
        <xsd:restriction base="dms:Note">
          <xsd:maxLength value="255"/>
        </xsd:restriction>
      </xsd:simpleType>
    </xsd:element>
    <xsd:element name="lcf76f155ced4ddcb4097134ff3c332f" ma:index="48" nillable="true" ma:taxonomy="true" ma:internalName="lcf76f155ced4ddcb4097134ff3c332f" ma:taxonomyFieldName="MediaServiceImageTags" ma:displayName="Image Tags" ma:readOnly="false" ma:fieldId="{5cf76f15-5ced-4ddc-b409-7134ff3c332f}" ma:taxonomyMulti="true" ma:sspId="f437effa-7c25-4ff4-a1f2-fa530103635c" ma:termSetId="09814cd3-568e-fe90-9814-8d621ff8fb84" ma:anchorId="fba54fb3-c3e1-fe81-a776-ca4b69148c4d" ma:open="true" ma:isKeyword="false">
      <xsd:complexType>
        <xsd:sequence>
          <xsd:element ref="pc:Terms" minOccurs="0" maxOccurs="1"/>
        </xsd:sequence>
      </xsd:complexType>
    </xsd:element>
    <xsd:element name="MediaLengthInSeconds" ma:index="50" nillable="true" ma:displayName="MediaLengthInSeconds" ma:hidden="true" ma:internalName="MediaLengthInSeconds" ma:readOnly="true">
      <xsd:simpleType>
        <xsd:restriction base="dms:Unknown"/>
      </xsd:simpleType>
    </xsd:element>
    <xsd:element name="MediaServiceObjectDetectorVersions" ma:index="51" nillable="true" ma:displayName="MediaServiceObjectDetectorVersions" ma:hidden="true" ma:indexed="true" ma:internalName="MediaServiceObjectDetectorVersions" ma:readOnly="true">
      <xsd:simpleType>
        <xsd:restriction base="dms:Text"/>
      </xsd:simpleType>
    </xsd:element>
    <xsd:element name="MediaServiceSearchProperties" ma:index="5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e7812cd-94f3-46ad-9f94-f1b53aec8606" elementFormDefault="qualified">
    <xsd:import namespace="http://schemas.microsoft.com/office/2006/documentManagement/types"/>
    <xsd:import namespace="http://schemas.microsoft.com/office/infopath/2007/PartnerControls"/>
    <xsd:element name="SharedWithUsers" ma:index="4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43" nillable="true" ma:displayName="Shared With Details" ma:internalName="SharedWithDetails" ma:readOnly="true">
      <xsd:simpleType>
        <xsd:restriction base="dms:Note">
          <xsd:maxLength value="255"/>
        </xsd:restriction>
      </xsd:simpleType>
    </xsd:element>
    <xsd:element name="TaxCatchAll" ma:index="49" nillable="true" ma:displayName="Taxonomy Catch All Column" ma:hidden="true" ma:list="{53b02f09-5369-481b-a139-ce1558773806}" ma:internalName="TaxCatchAll" ma:showField="CatchAllData" ma:web="5e7812cd-94f3-46ad-9f94-f1b53aec860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3B2978-F8D0-4BCA-9C34-989EA720450B}">
  <ds:schemaRefs>
    <ds:schemaRef ds:uri="http://schemas.microsoft.com/sharepoint/v3/contenttype/forms"/>
  </ds:schemaRefs>
</ds:datastoreItem>
</file>

<file path=customXml/itemProps2.xml><?xml version="1.0" encoding="utf-8"?>
<ds:datastoreItem xmlns:ds="http://schemas.openxmlformats.org/officeDocument/2006/customXml" ds:itemID="{84A7E32D-BF47-4423-85F6-361EFB100BE1}">
  <ds:schemaRefs>
    <ds:schemaRef ds:uri="http://schemas.microsoft.com/office/2006/metadata/properties"/>
    <ds:schemaRef ds:uri="http://schemas.microsoft.com/office/infopath/2007/PartnerControls"/>
    <ds:schemaRef ds:uri="4f9c820c-e7e2-444d-97ee-45f2b3485c1d"/>
    <ds:schemaRef ds:uri="3c0fc738-43e6-44bc-8831-8ec3c4d0d4da"/>
    <ds:schemaRef ds:uri="cd90e377-861b-43d5-bcac-99ff05a82b81"/>
    <ds:schemaRef ds:uri="5e7812cd-94f3-46ad-9f94-f1b53aec8606"/>
  </ds:schemaRefs>
</ds:datastoreItem>
</file>

<file path=customXml/itemProps3.xml><?xml version="1.0" encoding="utf-8"?>
<ds:datastoreItem xmlns:ds="http://schemas.openxmlformats.org/officeDocument/2006/customXml" ds:itemID="{28B1B947-F66D-48F5-94C0-6CFAE2E0470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f9c820c-e7e2-444d-97ee-45f2b3485c1d"/>
    <ds:schemaRef ds:uri="3c0fc738-43e6-44bc-8831-8ec3c4d0d4da"/>
    <ds:schemaRef ds:uri="cd90e377-861b-43d5-bcac-99ff05a82b81"/>
    <ds:schemaRef ds:uri="5e7812cd-94f3-46ad-9f94-f1b53aec860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7CB268C-2DD7-48B1-AC1C-6430B68429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346</TotalTime>
  <Pages>29</Pages>
  <Words>10112</Words>
  <Characters>61891</Characters>
  <Application>Microsoft Office Word</Application>
  <DocSecurity>0</DocSecurity>
  <Lines>1167</Lines>
  <Paragraphs>421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71582</CharactersWithSpaces>
  <SharedDoc>false</SharedDoc>
  <HLinks>
    <vt:vector size="198" baseType="variant">
      <vt:variant>
        <vt:i4>1966134</vt:i4>
      </vt:variant>
      <vt:variant>
        <vt:i4>170</vt:i4>
      </vt:variant>
      <vt:variant>
        <vt:i4>0</vt:i4>
      </vt:variant>
      <vt:variant>
        <vt:i4>5</vt:i4>
      </vt:variant>
      <vt:variant>
        <vt:lpwstr/>
      </vt:variant>
      <vt:variant>
        <vt:lpwstr>_Toc216879592</vt:lpwstr>
      </vt:variant>
      <vt:variant>
        <vt:i4>1572920</vt:i4>
      </vt:variant>
      <vt:variant>
        <vt:i4>161</vt:i4>
      </vt:variant>
      <vt:variant>
        <vt:i4>0</vt:i4>
      </vt:variant>
      <vt:variant>
        <vt:i4>5</vt:i4>
      </vt:variant>
      <vt:variant>
        <vt:lpwstr/>
      </vt:variant>
      <vt:variant>
        <vt:lpwstr>_Toc220924805</vt:lpwstr>
      </vt:variant>
      <vt:variant>
        <vt:i4>1572920</vt:i4>
      </vt:variant>
      <vt:variant>
        <vt:i4>155</vt:i4>
      </vt:variant>
      <vt:variant>
        <vt:i4>0</vt:i4>
      </vt:variant>
      <vt:variant>
        <vt:i4>5</vt:i4>
      </vt:variant>
      <vt:variant>
        <vt:lpwstr/>
      </vt:variant>
      <vt:variant>
        <vt:lpwstr>_Toc220924804</vt:lpwstr>
      </vt:variant>
      <vt:variant>
        <vt:i4>1572920</vt:i4>
      </vt:variant>
      <vt:variant>
        <vt:i4>149</vt:i4>
      </vt:variant>
      <vt:variant>
        <vt:i4>0</vt:i4>
      </vt:variant>
      <vt:variant>
        <vt:i4>5</vt:i4>
      </vt:variant>
      <vt:variant>
        <vt:lpwstr/>
      </vt:variant>
      <vt:variant>
        <vt:lpwstr>_Toc220924803</vt:lpwstr>
      </vt:variant>
      <vt:variant>
        <vt:i4>1572920</vt:i4>
      </vt:variant>
      <vt:variant>
        <vt:i4>143</vt:i4>
      </vt:variant>
      <vt:variant>
        <vt:i4>0</vt:i4>
      </vt:variant>
      <vt:variant>
        <vt:i4>5</vt:i4>
      </vt:variant>
      <vt:variant>
        <vt:lpwstr/>
      </vt:variant>
      <vt:variant>
        <vt:lpwstr>_Toc220924802</vt:lpwstr>
      </vt:variant>
      <vt:variant>
        <vt:i4>1572920</vt:i4>
      </vt:variant>
      <vt:variant>
        <vt:i4>137</vt:i4>
      </vt:variant>
      <vt:variant>
        <vt:i4>0</vt:i4>
      </vt:variant>
      <vt:variant>
        <vt:i4>5</vt:i4>
      </vt:variant>
      <vt:variant>
        <vt:lpwstr/>
      </vt:variant>
      <vt:variant>
        <vt:lpwstr>_Toc220924801</vt:lpwstr>
      </vt:variant>
      <vt:variant>
        <vt:i4>1572920</vt:i4>
      </vt:variant>
      <vt:variant>
        <vt:i4>131</vt:i4>
      </vt:variant>
      <vt:variant>
        <vt:i4>0</vt:i4>
      </vt:variant>
      <vt:variant>
        <vt:i4>5</vt:i4>
      </vt:variant>
      <vt:variant>
        <vt:lpwstr/>
      </vt:variant>
      <vt:variant>
        <vt:lpwstr>_Toc220924800</vt:lpwstr>
      </vt:variant>
      <vt:variant>
        <vt:i4>1048630</vt:i4>
      </vt:variant>
      <vt:variant>
        <vt:i4>122</vt:i4>
      </vt:variant>
      <vt:variant>
        <vt:i4>0</vt:i4>
      </vt:variant>
      <vt:variant>
        <vt:i4>5</vt:i4>
      </vt:variant>
      <vt:variant>
        <vt:lpwstr/>
      </vt:variant>
      <vt:variant>
        <vt:lpwstr>_Toc220924680</vt:lpwstr>
      </vt:variant>
      <vt:variant>
        <vt:i4>2031670</vt:i4>
      </vt:variant>
      <vt:variant>
        <vt:i4>116</vt:i4>
      </vt:variant>
      <vt:variant>
        <vt:i4>0</vt:i4>
      </vt:variant>
      <vt:variant>
        <vt:i4>5</vt:i4>
      </vt:variant>
      <vt:variant>
        <vt:lpwstr/>
      </vt:variant>
      <vt:variant>
        <vt:lpwstr>_Toc220924679</vt:lpwstr>
      </vt:variant>
      <vt:variant>
        <vt:i4>2031670</vt:i4>
      </vt:variant>
      <vt:variant>
        <vt:i4>110</vt:i4>
      </vt:variant>
      <vt:variant>
        <vt:i4>0</vt:i4>
      </vt:variant>
      <vt:variant>
        <vt:i4>5</vt:i4>
      </vt:variant>
      <vt:variant>
        <vt:lpwstr/>
      </vt:variant>
      <vt:variant>
        <vt:lpwstr>_Toc220924678</vt:lpwstr>
      </vt:variant>
      <vt:variant>
        <vt:i4>2031670</vt:i4>
      </vt:variant>
      <vt:variant>
        <vt:i4>104</vt:i4>
      </vt:variant>
      <vt:variant>
        <vt:i4>0</vt:i4>
      </vt:variant>
      <vt:variant>
        <vt:i4>5</vt:i4>
      </vt:variant>
      <vt:variant>
        <vt:lpwstr/>
      </vt:variant>
      <vt:variant>
        <vt:lpwstr>_Toc220924677</vt:lpwstr>
      </vt:variant>
      <vt:variant>
        <vt:i4>2031670</vt:i4>
      </vt:variant>
      <vt:variant>
        <vt:i4>98</vt:i4>
      </vt:variant>
      <vt:variant>
        <vt:i4>0</vt:i4>
      </vt:variant>
      <vt:variant>
        <vt:i4>5</vt:i4>
      </vt:variant>
      <vt:variant>
        <vt:lpwstr/>
      </vt:variant>
      <vt:variant>
        <vt:lpwstr>_Toc220924676</vt:lpwstr>
      </vt:variant>
      <vt:variant>
        <vt:i4>2031670</vt:i4>
      </vt:variant>
      <vt:variant>
        <vt:i4>92</vt:i4>
      </vt:variant>
      <vt:variant>
        <vt:i4>0</vt:i4>
      </vt:variant>
      <vt:variant>
        <vt:i4>5</vt:i4>
      </vt:variant>
      <vt:variant>
        <vt:lpwstr/>
      </vt:variant>
      <vt:variant>
        <vt:lpwstr>_Toc220924675</vt:lpwstr>
      </vt:variant>
      <vt:variant>
        <vt:i4>2031670</vt:i4>
      </vt:variant>
      <vt:variant>
        <vt:i4>86</vt:i4>
      </vt:variant>
      <vt:variant>
        <vt:i4>0</vt:i4>
      </vt:variant>
      <vt:variant>
        <vt:i4>5</vt:i4>
      </vt:variant>
      <vt:variant>
        <vt:lpwstr/>
      </vt:variant>
      <vt:variant>
        <vt:lpwstr>_Toc220924674</vt:lpwstr>
      </vt:variant>
      <vt:variant>
        <vt:i4>2031670</vt:i4>
      </vt:variant>
      <vt:variant>
        <vt:i4>80</vt:i4>
      </vt:variant>
      <vt:variant>
        <vt:i4>0</vt:i4>
      </vt:variant>
      <vt:variant>
        <vt:i4>5</vt:i4>
      </vt:variant>
      <vt:variant>
        <vt:lpwstr/>
      </vt:variant>
      <vt:variant>
        <vt:lpwstr>_Toc220924673</vt:lpwstr>
      </vt:variant>
      <vt:variant>
        <vt:i4>2031670</vt:i4>
      </vt:variant>
      <vt:variant>
        <vt:i4>74</vt:i4>
      </vt:variant>
      <vt:variant>
        <vt:i4>0</vt:i4>
      </vt:variant>
      <vt:variant>
        <vt:i4>5</vt:i4>
      </vt:variant>
      <vt:variant>
        <vt:lpwstr/>
      </vt:variant>
      <vt:variant>
        <vt:lpwstr>_Toc220924672</vt:lpwstr>
      </vt:variant>
      <vt:variant>
        <vt:i4>2031670</vt:i4>
      </vt:variant>
      <vt:variant>
        <vt:i4>68</vt:i4>
      </vt:variant>
      <vt:variant>
        <vt:i4>0</vt:i4>
      </vt:variant>
      <vt:variant>
        <vt:i4>5</vt:i4>
      </vt:variant>
      <vt:variant>
        <vt:lpwstr/>
      </vt:variant>
      <vt:variant>
        <vt:lpwstr>_Toc220924671</vt:lpwstr>
      </vt:variant>
      <vt:variant>
        <vt:i4>2031670</vt:i4>
      </vt:variant>
      <vt:variant>
        <vt:i4>62</vt:i4>
      </vt:variant>
      <vt:variant>
        <vt:i4>0</vt:i4>
      </vt:variant>
      <vt:variant>
        <vt:i4>5</vt:i4>
      </vt:variant>
      <vt:variant>
        <vt:lpwstr/>
      </vt:variant>
      <vt:variant>
        <vt:lpwstr>_Toc220924670</vt:lpwstr>
      </vt:variant>
      <vt:variant>
        <vt:i4>1966134</vt:i4>
      </vt:variant>
      <vt:variant>
        <vt:i4>56</vt:i4>
      </vt:variant>
      <vt:variant>
        <vt:i4>0</vt:i4>
      </vt:variant>
      <vt:variant>
        <vt:i4>5</vt:i4>
      </vt:variant>
      <vt:variant>
        <vt:lpwstr/>
      </vt:variant>
      <vt:variant>
        <vt:lpwstr>_Toc220924669</vt:lpwstr>
      </vt:variant>
      <vt:variant>
        <vt:i4>1966134</vt:i4>
      </vt:variant>
      <vt:variant>
        <vt:i4>50</vt:i4>
      </vt:variant>
      <vt:variant>
        <vt:i4>0</vt:i4>
      </vt:variant>
      <vt:variant>
        <vt:i4>5</vt:i4>
      </vt:variant>
      <vt:variant>
        <vt:lpwstr/>
      </vt:variant>
      <vt:variant>
        <vt:lpwstr>_Toc220924668</vt:lpwstr>
      </vt:variant>
      <vt:variant>
        <vt:i4>1966134</vt:i4>
      </vt:variant>
      <vt:variant>
        <vt:i4>44</vt:i4>
      </vt:variant>
      <vt:variant>
        <vt:i4>0</vt:i4>
      </vt:variant>
      <vt:variant>
        <vt:i4>5</vt:i4>
      </vt:variant>
      <vt:variant>
        <vt:lpwstr/>
      </vt:variant>
      <vt:variant>
        <vt:lpwstr>_Toc220924667</vt:lpwstr>
      </vt:variant>
      <vt:variant>
        <vt:i4>1966134</vt:i4>
      </vt:variant>
      <vt:variant>
        <vt:i4>38</vt:i4>
      </vt:variant>
      <vt:variant>
        <vt:i4>0</vt:i4>
      </vt:variant>
      <vt:variant>
        <vt:i4>5</vt:i4>
      </vt:variant>
      <vt:variant>
        <vt:lpwstr/>
      </vt:variant>
      <vt:variant>
        <vt:lpwstr>_Toc220924666</vt:lpwstr>
      </vt:variant>
      <vt:variant>
        <vt:i4>1966134</vt:i4>
      </vt:variant>
      <vt:variant>
        <vt:i4>32</vt:i4>
      </vt:variant>
      <vt:variant>
        <vt:i4>0</vt:i4>
      </vt:variant>
      <vt:variant>
        <vt:i4>5</vt:i4>
      </vt:variant>
      <vt:variant>
        <vt:lpwstr/>
      </vt:variant>
      <vt:variant>
        <vt:lpwstr>_Toc220924665</vt:lpwstr>
      </vt:variant>
      <vt:variant>
        <vt:i4>1966134</vt:i4>
      </vt:variant>
      <vt:variant>
        <vt:i4>26</vt:i4>
      </vt:variant>
      <vt:variant>
        <vt:i4>0</vt:i4>
      </vt:variant>
      <vt:variant>
        <vt:i4>5</vt:i4>
      </vt:variant>
      <vt:variant>
        <vt:lpwstr/>
      </vt:variant>
      <vt:variant>
        <vt:lpwstr>_Toc220924664</vt:lpwstr>
      </vt:variant>
      <vt:variant>
        <vt:i4>1966134</vt:i4>
      </vt:variant>
      <vt:variant>
        <vt:i4>20</vt:i4>
      </vt:variant>
      <vt:variant>
        <vt:i4>0</vt:i4>
      </vt:variant>
      <vt:variant>
        <vt:i4>5</vt:i4>
      </vt:variant>
      <vt:variant>
        <vt:lpwstr/>
      </vt:variant>
      <vt:variant>
        <vt:lpwstr>_Toc220924663</vt:lpwstr>
      </vt:variant>
      <vt:variant>
        <vt:i4>1966134</vt:i4>
      </vt:variant>
      <vt:variant>
        <vt:i4>14</vt:i4>
      </vt:variant>
      <vt:variant>
        <vt:i4>0</vt:i4>
      </vt:variant>
      <vt:variant>
        <vt:i4>5</vt:i4>
      </vt:variant>
      <vt:variant>
        <vt:lpwstr/>
      </vt:variant>
      <vt:variant>
        <vt:lpwstr>_Toc220924662</vt:lpwstr>
      </vt:variant>
      <vt:variant>
        <vt:i4>1966134</vt:i4>
      </vt:variant>
      <vt:variant>
        <vt:i4>8</vt:i4>
      </vt:variant>
      <vt:variant>
        <vt:i4>0</vt:i4>
      </vt:variant>
      <vt:variant>
        <vt:i4>5</vt:i4>
      </vt:variant>
      <vt:variant>
        <vt:lpwstr/>
      </vt:variant>
      <vt:variant>
        <vt:lpwstr>_Toc220924661</vt:lpwstr>
      </vt:variant>
      <vt:variant>
        <vt:i4>1966134</vt:i4>
      </vt:variant>
      <vt:variant>
        <vt:i4>2</vt:i4>
      </vt:variant>
      <vt:variant>
        <vt:i4>0</vt:i4>
      </vt:variant>
      <vt:variant>
        <vt:i4>5</vt:i4>
      </vt:variant>
      <vt:variant>
        <vt:lpwstr/>
      </vt:variant>
      <vt:variant>
        <vt:lpwstr>_Toc220924660</vt:lpwstr>
      </vt:variant>
      <vt:variant>
        <vt:i4>1507399</vt:i4>
      </vt:variant>
      <vt:variant>
        <vt:i4>15</vt:i4>
      </vt:variant>
      <vt:variant>
        <vt:i4>0</vt:i4>
      </vt:variant>
      <vt:variant>
        <vt:i4>5</vt:i4>
      </vt:variant>
      <vt:variant>
        <vt:lpwstr>http://www.nzier.org.nz/</vt:lpwstr>
      </vt:variant>
      <vt:variant>
        <vt:lpwstr/>
      </vt:variant>
      <vt:variant>
        <vt:i4>8061005</vt:i4>
      </vt:variant>
      <vt:variant>
        <vt:i4>12</vt:i4>
      </vt:variant>
      <vt:variant>
        <vt:i4>0</vt:i4>
      </vt:variant>
      <vt:variant>
        <vt:i4>5</vt:i4>
      </vt:variant>
      <vt:variant>
        <vt:lpwstr>https://unsplash.com/photos/a-woman-in-a-pink-dress-pushing-a-pink-walker-RfoA40cidgc?utm_content=creditCopyText&amp;utm_medium=referral&amp;utm_source=unsplash</vt:lpwstr>
      </vt:variant>
      <vt:variant>
        <vt:lpwstr/>
      </vt:variant>
      <vt:variant>
        <vt:i4>2424956</vt:i4>
      </vt:variant>
      <vt:variant>
        <vt:i4>9</vt:i4>
      </vt:variant>
      <vt:variant>
        <vt:i4>0</vt:i4>
      </vt:variant>
      <vt:variant>
        <vt:i4>5</vt:i4>
      </vt:variant>
      <vt:variant>
        <vt:lpwstr>https://unsplash.com/@rollzint?utm_content=creditCopyText&amp;utm_medium=referral&amp;utm_source=unsplash</vt:lpwstr>
      </vt:variant>
      <vt:variant>
        <vt:lpwstr/>
      </vt:variant>
      <vt:variant>
        <vt:i4>1507399</vt:i4>
      </vt:variant>
      <vt:variant>
        <vt:i4>6</vt:i4>
      </vt:variant>
      <vt:variant>
        <vt:i4>0</vt:i4>
      </vt:variant>
      <vt:variant>
        <vt:i4>5</vt:i4>
      </vt:variant>
      <vt:variant>
        <vt:lpwstr>http://www.nzier.org.nz/</vt:lpwstr>
      </vt:variant>
      <vt:variant>
        <vt:lpwstr/>
      </vt:variant>
      <vt:variant>
        <vt:i4>4128852</vt:i4>
      </vt:variant>
      <vt:variant>
        <vt:i4>3</vt:i4>
      </vt:variant>
      <vt:variant>
        <vt:i4>0</vt:i4>
      </vt:variant>
      <vt:variant>
        <vt:i4>5</vt:i4>
      </vt:variant>
      <vt:variant>
        <vt:lpwstr>mailto:econ@nzier.org.nz</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 Bealing</dc:creator>
  <cp:keywords/>
  <dc:description/>
  <cp:lastModifiedBy>Michael Bealing</cp:lastModifiedBy>
  <cp:revision>337</cp:revision>
  <cp:lastPrinted>2026-02-02T00:56:00Z</cp:lastPrinted>
  <dcterms:created xsi:type="dcterms:W3CDTF">2026-02-01T20:35:00Z</dcterms:created>
  <dcterms:modified xsi:type="dcterms:W3CDTF">2026-02-02T03:29:00Z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0x010100210068E24094A342933D3709119DA7630062DA8F047A04B14DA7D033C7DB899833</vt:lpwstr>
  </property>
  <property fmtid="{D5CDD505-2E9C-101B-9397-08002B2CF9AE}" pid="3" name="GrammarlyDocumentId">
    <vt:lpwstr>648662bd27a8b458519ad582bf4c9a443933dcb932bca40a2367b16e717707d1</vt:lpwstr>
  </property>
  <property fmtid="{D5CDD505-2E9C-101B-9397-08002B2CF9AE}" pid="4" name="MediaServiceImageTags">
    <vt:lpwstr/>
  </property>
  <property fmtid="{D5CDD505-2E9C-101B-9397-08002B2CF9AE}" pid="5" name="ZOTERO_PREF_2">
    <vt:lpwstr>"automaticJournalAbbreviations" value="true"/&gt;&lt;/prefs&gt;&lt;/data&gt;</vt:lpwstr>
  </property>
  <property fmtid="{D5CDD505-2E9C-101B-9397-08002B2CF9AE}" pid="6" name="ClassificationContentMarkingHeaderShapeIds">
    <vt:lpwstr>276037c7,5ccdbb8b,53957e0b,65a6d49c,75576bdd,423147b8,4edb2f77,7295f0e5,7a718cbb,20a878be,70d5c537,68ed02fd</vt:lpwstr>
  </property>
  <property fmtid="{D5CDD505-2E9C-101B-9397-08002B2CF9AE}" pid="7" name="ClassificationContentMarkingHeaderFontProps">
    <vt:lpwstr>#000000,10,Calibri</vt:lpwstr>
  </property>
  <property fmtid="{D5CDD505-2E9C-101B-9397-08002B2CF9AE}" pid="8" name="ClassificationContentMarkingHeaderText">
    <vt:lpwstr>IN-CONFIDENCE</vt:lpwstr>
  </property>
  <property fmtid="{D5CDD505-2E9C-101B-9397-08002B2CF9AE}" pid="9" name="MSIP_Label_f43e46a9-9901-46e9-bfae-bb6189d4cb66_Enabled">
    <vt:lpwstr>true</vt:lpwstr>
  </property>
  <property fmtid="{D5CDD505-2E9C-101B-9397-08002B2CF9AE}" pid="10" name="MSIP_Label_f43e46a9-9901-46e9-bfae-bb6189d4cb66_SetDate">
    <vt:lpwstr>2025-07-14T21:15:05Z</vt:lpwstr>
  </property>
  <property fmtid="{D5CDD505-2E9C-101B-9397-08002B2CF9AE}" pid="11" name="MSIP_Label_f43e46a9-9901-46e9-bfae-bb6189d4cb66_Method">
    <vt:lpwstr>Standard</vt:lpwstr>
  </property>
  <property fmtid="{D5CDD505-2E9C-101B-9397-08002B2CF9AE}" pid="12" name="MSIP_Label_f43e46a9-9901-46e9-bfae-bb6189d4cb66_Name">
    <vt:lpwstr>In-confidence</vt:lpwstr>
  </property>
  <property fmtid="{D5CDD505-2E9C-101B-9397-08002B2CF9AE}" pid="13" name="MSIP_Label_f43e46a9-9901-46e9-bfae-bb6189d4cb66_SiteId">
    <vt:lpwstr>e40c4f52-99bd-4d4f-bf7e-d001a2ca6556</vt:lpwstr>
  </property>
  <property fmtid="{D5CDD505-2E9C-101B-9397-08002B2CF9AE}" pid="14" name="MSIP_Label_f43e46a9-9901-46e9-bfae-bb6189d4cb66_ActionId">
    <vt:lpwstr>bdd3c7ee-522e-4036-b7d2-8a6d335ce75c</vt:lpwstr>
  </property>
  <property fmtid="{D5CDD505-2E9C-101B-9397-08002B2CF9AE}" pid="15" name="MSIP_Label_f43e46a9-9901-46e9-bfae-bb6189d4cb66_ContentBits">
    <vt:lpwstr>1</vt:lpwstr>
  </property>
  <property fmtid="{D5CDD505-2E9C-101B-9397-08002B2CF9AE}" pid="16" name="ZOTERO_PREF_1">
    <vt:lpwstr>&lt;data data-version="3" zotero-version="8.0.1"&gt;&lt;session id="m4G8whU1"/&gt;&lt;style id="http://www.zotero.org/styles/chicago-author-date" locale="en-US" hasBibliography="1" bibliographyStyleHasBeenSet="1"/&gt;&lt;prefs&gt;&lt;pref name="fieldType" value="Field"/&gt;&lt;pref name=</vt:lpwstr>
  </property>
</Properties>
</file>