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32" w:rsidRPr="00785A50" w:rsidRDefault="00E85970" w:rsidP="009C5032">
      <w:r>
        <w:rPr>
          <w:noProof/>
        </w:rPr>
        <w:drawing>
          <wp:anchor distT="0" distB="0" distL="114300" distR="114300" simplePos="0" relativeHeight="251663360" behindDoc="1" locked="0" layoutInCell="1" allowOverlap="1" wp14:anchorId="1F877413" wp14:editId="2A7CCC8E">
            <wp:simplePos x="0" y="0"/>
            <wp:positionH relativeFrom="page">
              <wp:posOffset>-9525</wp:posOffset>
            </wp:positionH>
            <wp:positionV relativeFrom="page">
              <wp:posOffset>0</wp:posOffset>
            </wp:positionV>
            <wp:extent cx="7591425" cy="10744200"/>
            <wp:effectExtent l="0" t="0" r="9525" b="0"/>
            <wp:wrapNone/>
            <wp:docPr id="44" name="Picture 4" descr="Proposal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osal 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1425" cy="10744200"/>
                    </a:xfrm>
                    <a:prstGeom prst="rect">
                      <a:avLst/>
                    </a:prstGeom>
                    <a:noFill/>
                  </pic:spPr>
                </pic:pic>
              </a:graphicData>
            </a:graphic>
          </wp:anchor>
        </w:drawing>
      </w:r>
    </w:p>
    <w:p w:rsidR="009C5032" w:rsidRPr="00785A50" w:rsidRDefault="006805D3" w:rsidP="009C5032">
      <w:pPr>
        <w:sectPr w:rsidR="009C5032" w:rsidRPr="00785A50">
          <w:headerReference w:type="default" r:id="rId10"/>
          <w:footerReference w:type="default" r:id="rId11"/>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59264" behindDoc="0" locked="0" layoutInCell="1" allowOverlap="1" wp14:anchorId="3243CAE2" wp14:editId="6DCAFE37">
                <wp:simplePos x="0" y="0"/>
                <wp:positionH relativeFrom="column">
                  <wp:posOffset>3705225</wp:posOffset>
                </wp:positionH>
                <wp:positionV relativeFrom="paragraph">
                  <wp:posOffset>1673860</wp:posOffset>
                </wp:positionV>
                <wp:extent cx="2585085" cy="697611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697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032" w:rsidRDefault="009C5032" w:rsidP="009C5032"/>
                          <w:p w:rsidR="009C5032" w:rsidRPr="009315C8" w:rsidRDefault="009C5032" w:rsidP="009C5032"/>
                          <w:p w:rsidR="00E85970" w:rsidRDefault="009C5032" w:rsidP="009C5032">
                            <w:pPr>
                              <w:spacing w:line="271" w:lineRule="auto"/>
                              <w:rPr>
                                <w:b/>
                                <w:color w:val="FFFFFF" w:themeColor="background1"/>
                                <w:sz w:val="38"/>
                              </w:rPr>
                            </w:pPr>
                            <w:r>
                              <w:rPr>
                                <w:b/>
                                <w:color w:val="FFFFFF" w:themeColor="background1"/>
                                <w:sz w:val="38"/>
                              </w:rPr>
                              <w:t>Understanding the factors that contribute to social exclusion of disabled people</w:t>
                            </w:r>
                          </w:p>
                          <w:p w:rsidR="009C5032" w:rsidRPr="00F21637" w:rsidRDefault="009C5032" w:rsidP="009C5032">
                            <w:pPr>
                              <w:spacing w:line="271" w:lineRule="auto"/>
                              <w:rPr>
                                <w:b/>
                                <w:color w:val="FFFFFF" w:themeColor="background1"/>
                              </w:rPr>
                            </w:pPr>
                            <w:r>
                              <w:rPr>
                                <w:b/>
                                <w:color w:val="FFFFFF" w:themeColor="background1"/>
                                <w:sz w:val="38"/>
                              </w:rPr>
                              <w:t xml:space="preserve"> </w:t>
                            </w:r>
                            <w:r w:rsidRPr="00F21637">
                              <w:rPr>
                                <w:color w:val="FFFFFF" w:themeColor="background1"/>
                              </w:rPr>
                              <w:br/>
                            </w:r>
                            <w:r>
                              <w:rPr>
                                <w:b/>
                                <w:color w:val="FFFFFF" w:themeColor="background1"/>
                                <w:sz w:val="32"/>
                              </w:rPr>
                              <w:t xml:space="preserve">Rapid review for </w:t>
                            </w:r>
                            <w:r>
                              <w:rPr>
                                <w:b/>
                                <w:color w:val="FFFFFF" w:themeColor="background1"/>
                                <w:sz w:val="32"/>
                              </w:rPr>
                              <w:br/>
                              <w:t>Think Differently</w:t>
                            </w:r>
                            <w:r w:rsidRPr="00F21637">
                              <w:rPr>
                                <w:b/>
                                <w:color w:val="FFFFFF" w:themeColor="background1"/>
                                <w:sz w:val="26"/>
                              </w:rPr>
                              <w:br/>
                            </w:r>
                          </w:p>
                          <w:p w:rsidR="009C5032" w:rsidRDefault="009C5032" w:rsidP="009C5032">
                            <w:pPr>
                              <w:rPr>
                                <w:color w:val="FFFFFF" w:themeColor="background1"/>
                              </w:rPr>
                            </w:pPr>
                          </w:p>
                          <w:p w:rsidR="00F92CCD" w:rsidRDefault="00F31D72" w:rsidP="00F92CCD">
                            <w:pPr>
                              <w:spacing w:line="271" w:lineRule="auto"/>
                              <w:rPr>
                                <w:b/>
                                <w:color w:val="FFFFFF" w:themeColor="background1"/>
                                <w:sz w:val="38"/>
                              </w:rPr>
                            </w:pPr>
                            <w:r>
                              <w:rPr>
                                <w:b/>
                                <w:color w:val="FFFFFF" w:themeColor="background1"/>
                                <w:sz w:val="38"/>
                              </w:rPr>
                              <w:t>Executive summary</w:t>
                            </w:r>
                          </w:p>
                          <w:p w:rsidR="00F92CCD" w:rsidRPr="00F21637" w:rsidRDefault="00BD28FD" w:rsidP="00F92CCD">
                            <w:pPr>
                              <w:spacing w:line="271" w:lineRule="auto"/>
                              <w:rPr>
                                <w:b/>
                                <w:color w:val="FFFFFF" w:themeColor="background1"/>
                                <w:sz w:val="38"/>
                              </w:rPr>
                            </w:pPr>
                          </w:p>
                          <w:p w:rsidR="00F92CCD" w:rsidRPr="00F92CCD" w:rsidRDefault="00BD28FD" w:rsidP="009C5032">
                            <w:pPr>
                              <w:rPr>
                                <w:color w:val="FFFFFF" w:themeColor="background1"/>
                              </w:rPr>
                            </w:pPr>
                          </w:p>
                          <w:p w:rsidR="009C5032" w:rsidRDefault="009C5032" w:rsidP="009C5032">
                            <w:pPr>
                              <w:rPr>
                                <w:color w:val="FFFFFF" w:themeColor="background1"/>
                              </w:rPr>
                            </w:pPr>
                            <w:r>
                              <w:rPr>
                                <w:color w:val="FFFFFF" w:themeColor="background1"/>
                              </w:rPr>
                              <w:t>Dr Sarah Appleton-Dyer</w:t>
                            </w:r>
                          </w:p>
                          <w:p w:rsidR="009C5032" w:rsidRPr="00F21637" w:rsidRDefault="009C5032" w:rsidP="009C5032">
                            <w:pPr>
                              <w:rPr>
                                <w:color w:val="FFFFFF" w:themeColor="background1"/>
                              </w:rPr>
                            </w:pPr>
                            <w:r>
                              <w:rPr>
                                <w:color w:val="FFFFFF" w:themeColor="background1"/>
                              </w:rPr>
                              <w:t>Dr Adrian Field</w:t>
                            </w:r>
                          </w:p>
                          <w:p w:rsidR="009C5032" w:rsidRPr="00F21637" w:rsidRDefault="009C5032" w:rsidP="009C5032">
                            <w:pPr>
                              <w:rPr>
                                <w:color w:val="FFFFFF" w:themeColor="background1"/>
                              </w:rPr>
                            </w:pPr>
                          </w:p>
                          <w:p w:rsidR="009C5032" w:rsidRPr="00F21637" w:rsidRDefault="00E85970" w:rsidP="009C5032">
                            <w:pPr>
                              <w:rPr>
                                <w:color w:val="FFFFFF" w:themeColor="background1"/>
                              </w:rPr>
                            </w:pPr>
                            <w:r>
                              <w:rPr>
                                <w:color w:val="FFFFFF" w:themeColor="background1"/>
                              </w:rPr>
                              <w:t>20 November</w:t>
                            </w:r>
                            <w:r w:rsidR="009C5032">
                              <w:rPr>
                                <w:color w:val="FFFFFF" w:themeColor="background1"/>
                              </w:rPr>
                              <w:t xml:space="preserve"> 2014</w:t>
                            </w:r>
                          </w:p>
                          <w:p w:rsidR="009C5032" w:rsidRPr="00F21637" w:rsidRDefault="009C5032" w:rsidP="009C5032">
                            <w:pPr>
                              <w:rPr>
                                <w:color w:val="FFFFFF" w:themeColor="background1"/>
                              </w:rPr>
                            </w:pPr>
                            <w:r w:rsidRPr="00F21637">
                              <w:rPr>
                                <w:color w:val="FFFFFF" w:themeColor="background1"/>
                              </w:rPr>
                              <w:br/>
                              <w:t xml:space="preserve">Synergia Ltd </w:t>
                            </w:r>
                            <w:r w:rsidRPr="00F21637">
                              <w:rPr>
                                <w:color w:val="FFFFFF" w:themeColor="background1"/>
                              </w:rPr>
                              <w:br/>
                              <w:t>P.O. Box 147 168</w:t>
                            </w:r>
                            <w:r w:rsidRPr="00F21637">
                              <w:rPr>
                                <w:color w:val="FFFFFF" w:themeColor="background1"/>
                              </w:rPr>
                              <w:br/>
                            </w:r>
                            <w:proofErr w:type="spellStart"/>
                            <w:r w:rsidRPr="00F21637">
                              <w:rPr>
                                <w:color w:val="FFFFFF" w:themeColor="background1"/>
                              </w:rPr>
                              <w:t>Ponsonby</w:t>
                            </w:r>
                            <w:proofErr w:type="spellEnd"/>
                            <w:r w:rsidRPr="00F21637">
                              <w:rPr>
                                <w:color w:val="FFFFFF" w:themeColor="background1"/>
                              </w:rPr>
                              <w:br/>
                              <w:t>Auckland 1144</w:t>
                            </w:r>
                          </w:p>
                          <w:p w:rsidR="009C5032" w:rsidRPr="00F21637" w:rsidRDefault="00BD28FD" w:rsidP="009C5032">
                            <w:pPr>
                              <w:rPr>
                                <w:color w:val="FFFFFF" w:themeColor="background1"/>
                              </w:rPr>
                            </w:pPr>
                            <w:hyperlink r:id="rId12" w:history="1">
                              <w:r w:rsidR="009C5032" w:rsidRPr="00F21637">
                                <w:rPr>
                                  <w:rStyle w:val="Hyperlink"/>
                                  <w:color w:val="FFFFFF" w:themeColor="background1"/>
                                  <w:sz w:val="20"/>
                                </w:rPr>
                                <w:t>www.synergia.co.nz</w:t>
                              </w:r>
                            </w:hyperlink>
                          </w:p>
                          <w:p w:rsidR="009C5032" w:rsidRPr="00F21637" w:rsidRDefault="009C5032" w:rsidP="009C5032">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43CAE2" id="_x0000_t202" coordsize="21600,21600" o:spt="202" path="m,l,21600r21600,l21600,xe">
                <v:stroke joinstyle="miter"/>
                <v:path gradientshapeok="t" o:connecttype="rect"/>
              </v:shapetype>
              <v:shape id="Text Box 3" o:spid="_x0000_s1026" type="#_x0000_t202" style="position:absolute;margin-left:291.75pt;margin-top:131.8pt;width:203.55pt;height:5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fNuQIAALs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" filled="f" stroked="f">
                <v:textbox>
                  <w:txbxContent>
                    <w:p w:rsidR="009C5032" w:rsidRDefault="009C5032" w:rsidP="009C5032"/>
                    <w:p w:rsidR="009C5032" w:rsidRPr="009315C8" w:rsidRDefault="009C5032" w:rsidP="009C5032"/>
                    <w:p w:rsidR="00E85970" w:rsidRDefault="009C5032" w:rsidP="009C5032">
                      <w:pPr>
                        <w:spacing w:line="271" w:lineRule="auto"/>
                        <w:rPr>
                          <w:b/>
                          <w:color w:val="FFFFFF" w:themeColor="background1"/>
                          <w:sz w:val="38"/>
                        </w:rPr>
                      </w:pPr>
                      <w:r>
                        <w:rPr>
                          <w:b/>
                          <w:color w:val="FFFFFF" w:themeColor="background1"/>
                          <w:sz w:val="38"/>
                        </w:rPr>
                        <w:t>Understanding the factors that contribute to social exclusion of disabled people</w:t>
                      </w:r>
                    </w:p>
                    <w:p w:rsidR="009C5032" w:rsidRPr="00F21637" w:rsidRDefault="009C5032" w:rsidP="009C5032">
                      <w:pPr>
                        <w:spacing w:line="271" w:lineRule="auto"/>
                        <w:rPr>
                          <w:b/>
                          <w:color w:val="FFFFFF" w:themeColor="background1"/>
                        </w:rPr>
                      </w:pPr>
                      <w:r>
                        <w:rPr>
                          <w:b/>
                          <w:color w:val="FFFFFF" w:themeColor="background1"/>
                          <w:sz w:val="38"/>
                        </w:rPr>
                        <w:t xml:space="preserve"> </w:t>
                      </w:r>
                      <w:r w:rsidRPr="00F21637">
                        <w:rPr>
                          <w:color w:val="FFFFFF" w:themeColor="background1"/>
                        </w:rPr>
                        <w:br/>
                      </w:r>
                      <w:r>
                        <w:rPr>
                          <w:b/>
                          <w:color w:val="FFFFFF" w:themeColor="background1"/>
                          <w:sz w:val="32"/>
                        </w:rPr>
                        <w:t xml:space="preserve">Rapid review for </w:t>
                      </w:r>
                      <w:r>
                        <w:rPr>
                          <w:b/>
                          <w:color w:val="FFFFFF" w:themeColor="background1"/>
                          <w:sz w:val="32"/>
                        </w:rPr>
                        <w:br/>
                        <w:t>Think Differently</w:t>
                      </w:r>
                      <w:r w:rsidRPr="00F21637">
                        <w:rPr>
                          <w:b/>
                          <w:color w:val="FFFFFF" w:themeColor="background1"/>
                          <w:sz w:val="26"/>
                        </w:rPr>
                        <w:br/>
                      </w:r>
                    </w:p>
                    <w:p w:rsidR="009C5032" w:rsidRDefault="009C5032" w:rsidP="009C5032">
                      <w:pPr>
                        <w:rPr>
                          <w:color w:val="FFFFFF" w:themeColor="background1"/>
                        </w:rPr>
                      </w:pPr>
                    </w:p>
                    <w:p w:rsidR="00F92CCD" w:rsidRDefault="00F31D72" w:rsidP="00F92CCD">
                      <w:pPr>
                        <w:spacing w:line="271" w:lineRule="auto"/>
                        <w:rPr>
                          <w:b/>
                          <w:color w:val="FFFFFF" w:themeColor="background1"/>
                          <w:sz w:val="38"/>
                        </w:rPr>
                      </w:pPr>
                      <w:r>
                        <w:rPr>
                          <w:b/>
                          <w:color w:val="FFFFFF" w:themeColor="background1"/>
                          <w:sz w:val="38"/>
                        </w:rPr>
                        <w:t>Executive summary</w:t>
                      </w:r>
                    </w:p>
                    <w:p w:rsidR="00F92CCD" w:rsidRPr="00F21637" w:rsidRDefault="00E274D5" w:rsidP="00F92CCD">
                      <w:pPr>
                        <w:spacing w:line="271" w:lineRule="auto"/>
                        <w:rPr>
                          <w:b/>
                          <w:color w:val="FFFFFF" w:themeColor="background1"/>
                          <w:sz w:val="38"/>
                        </w:rPr>
                      </w:pPr>
                    </w:p>
                    <w:p w:rsidR="00F92CCD" w:rsidRPr="00F92CCD" w:rsidRDefault="00E274D5" w:rsidP="009C5032">
                      <w:pPr>
                        <w:rPr>
                          <w:color w:val="FFFFFF" w:themeColor="background1"/>
                        </w:rPr>
                      </w:pPr>
                    </w:p>
                    <w:p w:rsidR="009C5032" w:rsidRDefault="009C5032" w:rsidP="009C5032">
                      <w:pPr>
                        <w:rPr>
                          <w:color w:val="FFFFFF" w:themeColor="background1"/>
                        </w:rPr>
                      </w:pPr>
                      <w:r>
                        <w:rPr>
                          <w:color w:val="FFFFFF" w:themeColor="background1"/>
                        </w:rPr>
                        <w:t>Dr Sarah Appleton-Dyer</w:t>
                      </w:r>
                    </w:p>
                    <w:p w:rsidR="009C5032" w:rsidRPr="00F21637" w:rsidRDefault="009C5032" w:rsidP="009C5032">
                      <w:pPr>
                        <w:rPr>
                          <w:color w:val="FFFFFF" w:themeColor="background1"/>
                        </w:rPr>
                      </w:pPr>
                      <w:r>
                        <w:rPr>
                          <w:color w:val="FFFFFF" w:themeColor="background1"/>
                        </w:rPr>
                        <w:t>Dr Adrian Field</w:t>
                      </w:r>
                    </w:p>
                    <w:p w:rsidR="009C5032" w:rsidRPr="00F21637" w:rsidRDefault="009C5032" w:rsidP="009C5032">
                      <w:pPr>
                        <w:rPr>
                          <w:color w:val="FFFFFF" w:themeColor="background1"/>
                        </w:rPr>
                      </w:pPr>
                    </w:p>
                    <w:p w:rsidR="009C5032" w:rsidRPr="00F21637" w:rsidRDefault="00E85970" w:rsidP="009C5032">
                      <w:pPr>
                        <w:rPr>
                          <w:color w:val="FFFFFF" w:themeColor="background1"/>
                        </w:rPr>
                      </w:pPr>
                      <w:r>
                        <w:rPr>
                          <w:color w:val="FFFFFF" w:themeColor="background1"/>
                        </w:rPr>
                        <w:t>20 November</w:t>
                      </w:r>
                      <w:r w:rsidR="009C5032">
                        <w:rPr>
                          <w:color w:val="FFFFFF" w:themeColor="background1"/>
                        </w:rPr>
                        <w:t xml:space="preserve"> 2014</w:t>
                      </w:r>
                    </w:p>
                    <w:p w:rsidR="009C5032" w:rsidRPr="00F21637" w:rsidRDefault="009C5032" w:rsidP="009C5032">
                      <w:pPr>
                        <w:rPr>
                          <w:color w:val="FFFFFF" w:themeColor="background1"/>
                        </w:rPr>
                      </w:pPr>
                      <w:r w:rsidRPr="00F21637">
                        <w:rPr>
                          <w:color w:val="FFFFFF" w:themeColor="background1"/>
                        </w:rPr>
                        <w:br/>
                        <w:t xml:space="preserve">Synergia Ltd </w:t>
                      </w:r>
                      <w:r w:rsidRPr="00F21637">
                        <w:rPr>
                          <w:color w:val="FFFFFF" w:themeColor="background1"/>
                        </w:rPr>
                        <w:br/>
                        <w:t>P.O. Box 147 168</w:t>
                      </w:r>
                      <w:r w:rsidRPr="00F21637">
                        <w:rPr>
                          <w:color w:val="FFFFFF" w:themeColor="background1"/>
                        </w:rPr>
                        <w:br/>
                        <w:t>Ponsonby</w:t>
                      </w:r>
                      <w:r w:rsidRPr="00F21637">
                        <w:rPr>
                          <w:color w:val="FFFFFF" w:themeColor="background1"/>
                        </w:rPr>
                        <w:br/>
                        <w:t>Auckland 1144</w:t>
                      </w:r>
                    </w:p>
                    <w:p w:rsidR="009C5032" w:rsidRPr="00F21637" w:rsidRDefault="00E274D5" w:rsidP="009C5032">
                      <w:pPr>
                        <w:rPr>
                          <w:color w:val="FFFFFF" w:themeColor="background1"/>
                        </w:rPr>
                      </w:pPr>
                      <w:hyperlink r:id="rId13" w:history="1">
                        <w:r w:rsidR="009C5032" w:rsidRPr="00F21637">
                          <w:rPr>
                            <w:rStyle w:val="Hyperlink"/>
                            <w:color w:val="FFFFFF" w:themeColor="background1"/>
                            <w:sz w:val="20"/>
                          </w:rPr>
                          <w:t>www.synergia.co.nz</w:t>
                        </w:r>
                      </w:hyperlink>
                    </w:p>
                    <w:p w:rsidR="009C5032" w:rsidRPr="00F21637" w:rsidRDefault="009C5032" w:rsidP="009C5032">
                      <w:pPr>
                        <w:rPr>
                          <w:color w:val="FFFFFF" w:themeColor="background1"/>
                        </w:rPr>
                      </w:pPr>
                    </w:p>
                  </w:txbxContent>
                </v:textbox>
              </v:shape>
            </w:pict>
          </mc:Fallback>
        </mc:AlternateContent>
      </w:r>
    </w:p>
    <w:p w:rsidR="00085601" w:rsidRDefault="00085601">
      <w:pPr>
        <w:spacing w:after="200" w:line="276" w:lineRule="auto"/>
        <w:rPr>
          <w:lang w:val="en"/>
        </w:rPr>
      </w:pPr>
      <w:bookmarkStart w:id="0" w:name="_Toc403383035"/>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bookmarkStart w:id="1" w:name="_GoBack"/>
      <w:bookmarkEnd w:id="1"/>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p>
    <w:p w:rsidR="00085601" w:rsidRDefault="00085601">
      <w:pPr>
        <w:spacing w:after="200" w:line="276" w:lineRule="auto"/>
        <w:rPr>
          <w:lang w:val="en"/>
        </w:rPr>
      </w:pPr>
      <w:r>
        <w:rPr>
          <w:lang w:val="en"/>
        </w:rPr>
        <w:t>Disclaimer</w:t>
      </w:r>
    </w:p>
    <w:p w:rsidR="00085601" w:rsidRDefault="00085601">
      <w:pPr>
        <w:spacing w:after="200" w:line="276" w:lineRule="auto"/>
        <w:rPr>
          <w:rFonts w:cs="Arial"/>
          <w:b/>
          <w:noProof/>
          <w:color w:val="006E95"/>
          <w:spacing w:val="20"/>
          <w:kern w:val="28"/>
          <w:sz w:val="32"/>
          <w:szCs w:val="28"/>
        </w:rPr>
      </w:pPr>
      <w:r>
        <w:rPr>
          <w:lang w:val="en"/>
        </w:rPr>
        <w:t>The opinions expressed herein are the researchers and do not necessarily reflect the views of the Ministry of Social Development.</w:t>
      </w:r>
    </w:p>
    <w:p w:rsidR="00E85970" w:rsidRPr="00E85970" w:rsidRDefault="00E85970" w:rsidP="00E85970">
      <w:pPr>
        <w:pStyle w:val="Heading1"/>
        <w:numPr>
          <w:ilvl w:val="0"/>
          <w:numId w:val="0"/>
        </w:numPr>
        <w:ind w:left="510" w:hanging="510"/>
      </w:pPr>
      <w:r w:rsidRPr="00E85970">
        <w:lastRenderedPageBreak/>
        <w:t xml:space="preserve">Executive </w:t>
      </w:r>
      <w:r>
        <w:t>S</w:t>
      </w:r>
      <w:r w:rsidRPr="00E85970">
        <w:t>ummary</w:t>
      </w:r>
      <w:bookmarkEnd w:id="0"/>
    </w:p>
    <w:p w:rsidR="00E85970" w:rsidRDefault="00E85970" w:rsidP="00E85970">
      <w:r>
        <w:t>Think Differently, led by the Ministry of Social Development, is a social change campaign that seeks to encourage and support a fundamental shift in attitudes and behaviours towards disabled people. It works across community and national level activities to:</w:t>
      </w:r>
    </w:p>
    <w:p w:rsidR="00E85970" w:rsidRDefault="00E85970" w:rsidP="00E85970">
      <w:pPr>
        <w:pStyle w:val="ListParagraph"/>
        <w:numPr>
          <w:ilvl w:val="0"/>
          <w:numId w:val="2"/>
        </w:numPr>
      </w:pPr>
      <w:r>
        <w:t>Mobilise personal and community action</w:t>
      </w:r>
    </w:p>
    <w:p w:rsidR="00E85970" w:rsidRDefault="00E85970" w:rsidP="00E85970">
      <w:pPr>
        <w:pStyle w:val="ListParagraph"/>
        <w:numPr>
          <w:ilvl w:val="0"/>
          <w:numId w:val="2"/>
        </w:numPr>
      </w:pPr>
      <w:r>
        <w:t xml:space="preserve">Change social attitudes and beliefs that lead to disabled people being excluded </w:t>
      </w:r>
    </w:p>
    <w:p w:rsidR="00E85970" w:rsidRDefault="00E85970" w:rsidP="00E85970">
      <w:pPr>
        <w:pStyle w:val="ListParagraph"/>
        <w:numPr>
          <w:ilvl w:val="0"/>
          <w:numId w:val="2"/>
        </w:numPr>
      </w:pPr>
      <w:r>
        <w:t xml:space="preserve">Increase people’s knowledge and understanding of disability and the benefits of inclusive communities. </w:t>
      </w:r>
    </w:p>
    <w:p w:rsidR="00E85970" w:rsidRDefault="00E85970" w:rsidP="00E85970">
      <w:r>
        <w:t xml:space="preserve">To support this work, Think Differently commissioned a review of the published and grey literature to understand the factors that cause disabled people to be socially excluded. The review is designed to inform the further development of the Think Differently Campaign. This summary focuses on understanding social exclusion and its key drivers. The methods and a more detailed analysis of the key concepts are provided in the main body of this report. </w:t>
      </w:r>
    </w:p>
    <w:p w:rsidR="00E85970" w:rsidRPr="00E85970" w:rsidRDefault="00E85970" w:rsidP="00E85970">
      <w:pPr>
        <w:pStyle w:val="Heading2"/>
        <w:numPr>
          <w:ilvl w:val="0"/>
          <w:numId w:val="0"/>
        </w:numPr>
        <w:ind w:left="510" w:hanging="510"/>
      </w:pPr>
      <w:bookmarkStart w:id="2" w:name="_Toc403383036"/>
      <w:r w:rsidRPr="00E85970">
        <w:t>Social exclusion</w:t>
      </w:r>
      <w:bookmarkEnd w:id="2"/>
      <w:r w:rsidRPr="00E85970">
        <w:t xml:space="preserve"> </w:t>
      </w:r>
    </w:p>
    <w:p w:rsidR="00E85970" w:rsidRDefault="00E85970" w:rsidP="00E85970">
      <w:r>
        <w:t xml:space="preserve">Social exclusion involves the lack or denial of resources, rights, goods and services, and the inability to participate in the normal relationships and activities, available to the majority of people in a society, whether in economic, social, cultural or political arenas. It affects both the quality of life of individuals and the equity and cohesion of society as a whole </w:t>
      </w:r>
      <w:r w:rsidRPr="001D01C0">
        <w:t>(Levitas et al 2007).</w:t>
      </w:r>
      <w:r>
        <w:t xml:space="preserve"> </w:t>
      </w:r>
    </w:p>
    <w:p w:rsidR="00E85970" w:rsidRDefault="00E85970" w:rsidP="00E85970">
      <w:pPr>
        <w:pStyle w:val="Heading2"/>
        <w:numPr>
          <w:ilvl w:val="0"/>
          <w:numId w:val="0"/>
        </w:numPr>
        <w:ind w:left="510" w:hanging="510"/>
      </w:pPr>
      <w:bookmarkStart w:id="3" w:name="_Toc403383037"/>
      <w:r>
        <w:t>Forms of social exclusion</w:t>
      </w:r>
      <w:bookmarkEnd w:id="3"/>
    </w:p>
    <w:p w:rsidR="00E85970" w:rsidRDefault="00E85970" w:rsidP="00E85970">
      <w:r>
        <w:t xml:space="preserve">The drivers of social exclusion are complex and multifaceted. The different forms of exclusion identified in the diagram on the following page illustrate this. </w:t>
      </w:r>
    </w:p>
    <w:p w:rsidR="00E85970" w:rsidRDefault="00E85970" w:rsidP="00E85970"/>
    <w:p w:rsidR="00E85970" w:rsidRDefault="00E85970" w:rsidP="00E85970"/>
    <w:p w:rsidR="00E85970" w:rsidRDefault="00E85970" w:rsidP="00E85970"/>
    <w:p w:rsidR="00E85970" w:rsidRDefault="00E85970" w:rsidP="00E85970"/>
    <w:p w:rsidR="00E85970" w:rsidRDefault="00E85970" w:rsidP="00E85970"/>
    <w:p w:rsidR="00E85970" w:rsidRPr="00130F70" w:rsidRDefault="00E85970" w:rsidP="00E85970">
      <w:pPr>
        <w:rPr>
          <w:b/>
        </w:rPr>
      </w:pPr>
      <w:r>
        <w:rPr>
          <w:b/>
        </w:rPr>
        <w:lastRenderedPageBreak/>
        <w:t>Four key forms of social exclusion</w:t>
      </w:r>
    </w:p>
    <w:p w:rsidR="00E85970" w:rsidRDefault="00E85970" w:rsidP="00E85970">
      <w:r>
        <w:rPr>
          <w:noProof/>
        </w:rPr>
        <w:drawing>
          <wp:inline distT="0" distB="0" distL="0" distR="0" wp14:anchorId="3A3D809F" wp14:editId="647C2642">
            <wp:extent cx="5184475" cy="3165894"/>
            <wp:effectExtent l="0" t="0" r="0" b="5397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85970" w:rsidRDefault="00E85970" w:rsidP="00E85970"/>
    <w:p w:rsidR="00E85970" w:rsidRDefault="00E85970" w:rsidP="00E85970">
      <w:r>
        <w:t xml:space="preserve">The diagram above identifies the reinforcing nature of exclusion. For example, disabled people may be excluded from employment due to deliberate exclusion by employers (social exclusion). This exclusion is reinforced by the lack of policy or implementation of policies to promote equality opportunities within the workplace (political exclusion). </w:t>
      </w:r>
    </w:p>
    <w:p w:rsidR="00E85970" w:rsidRDefault="00E85970" w:rsidP="00E85970">
      <w:pPr>
        <w:pStyle w:val="Heading2"/>
        <w:numPr>
          <w:ilvl w:val="0"/>
          <w:numId w:val="0"/>
        </w:numPr>
        <w:ind w:left="510" w:hanging="510"/>
      </w:pPr>
      <w:bookmarkStart w:id="4" w:name="_Toc403383038"/>
      <w:r>
        <w:t>Macro-drivers of exclusion</w:t>
      </w:r>
      <w:bookmarkEnd w:id="4"/>
    </w:p>
    <w:p w:rsidR="00E85970" w:rsidRDefault="00E85970" w:rsidP="00E85970">
      <w:r>
        <w:t xml:space="preserve">The Social Exclusion Unit in the UK identifies three major contextual factors that contribute to social exclusion </w:t>
      </w:r>
      <w:r w:rsidRPr="00B95A62">
        <w:t>(Social Exclusion Unit 2004a)</w:t>
      </w:r>
      <w:r>
        <w:t>:</w:t>
      </w:r>
    </w:p>
    <w:p w:rsidR="00E85970" w:rsidRPr="00B95A62" w:rsidRDefault="00E85970" w:rsidP="00E85970">
      <w:pPr>
        <w:pStyle w:val="ListParagraph"/>
        <w:numPr>
          <w:ilvl w:val="0"/>
          <w:numId w:val="3"/>
        </w:numPr>
      </w:pPr>
      <w:r w:rsidRPr="00F25A21">
        <w:rPr>
          <w:b/>
        </w:rPr>
        <w:t xml:space="preserve">Demographics </w:t>
      </w:r>
      <w:r>
        <w:t xml:space="preserve">–high rates of youth unemployment, increases in lone parenting, ageing and migration are all </w:t>
      </w:r>
      <w:r w:rsidRPr="00B95A62">
        <w:t xml:space="preserve">demographic factors that can drive exclusion. </w:t>
      </w:r>
    </w:p>
    <w:p w:rsidR="00E85970" w:rsidRDefault="00E85970" w:rsidP="00E85970">
      <w:pPr>
        <w:pStyle w:val="ListParagraph"/>
        <w:numPr>
          <w:ilvl w:val="0"/>
          <w:numId w:val="3"/>
        </w:numPr>
      </w:pPr>
      <w:r w:rsidRPr="00F25A21">
        <w:rPr>
          <w:b/>
        </w:rPr>
        <w:t>Labour market</w:t>
      </w:r>
      <w:r>
        <w:t xml:space="preserve"> –increases in low pay and the dispersion of income between groups can drive social exclusion.</w:t>
      </w:r>
    </w:p>
    <w:p w:rsidR="00E85970" w:rsidRDefault="00E85970" w:rsidP="00E85970">
      <w:pPr>
        <w:pStyle w:val="ListParagraph"/>
        <w:numPr>
          <w:ilvl w:val="0"/>
          <w:numId w:val="3"/>
        </w:numPr>
      </w:pPr>
      <w:r w:rsidRPr="00F25A21">
        <w:rPr>
          <w:b/>
        </w:rPr>
        <w:t>Social policy</w:t>
      </w:r>
      <w:r>
        <w:t xml:space="preserve"> –changes in benefits, expenditure on housing, health and social services can increase financial divides, reduce and hinder equity of access. </w:t>
      </w:r>
    </w:p>
    <w:p w:rsidR="00E85970" w:rsidRDefault="00E85970" w:rsidP="00E85970">
      <w:pPr>
        <w:pStyle w:val="Heading2"/>
        <w:numPr>
          <w:ilvl w:val="0"/>
          <w:numId w:val="0"/>
        </w:numPr>
        <w:ind w:left="510" w:hanging="510"/>
      </w:pPr>
      <w:bookmarkStart w:id="5" w:name="_Toc403383039"/>
      <w:r>
        <w:lastRenderedPageBreak/>
        <w:t>People’s exclusion of others</w:t>
      </w:r>
      <w:bookmarkEnd w:id="5"/>
    </w:p>
    <w:p w:rsidR="00E85970" w:rsidRDefault="00E85970" w:rsidP="00E85970">
      <w:r>
        <w:t>These macro-level drivers of exclusion are reinforced by people’s exclusion of others. The factors that drive people’s exclusion of others include:</w:t>
      </w:r>
    </w:p>
    <w:p w:rsidR="00E85970" w:rsidRDefault="00E85970" w:rsidP="00E85970">
      <w:pPr>
        <w:pStyle w:val="ListParagraph"/>
        <w:numPr>
          <w:ilvl w:val="0"/>
          <w:numId w:val="4"/>
        </w:numPr>
      </w:pPr>
      <w:r w:rsidRPr="00B77891">
        <w:rPr>
          <w:b/>
          <w:i/>
        </w:rPr>
        <w:t>mental models</w:t>
      </w:r>
      <w:r>
        <w:t xml:space="preserve">, outlooks and </w:t>
      </w:r>
      <w:r w:rsidRPr="00B77891">
        <w:rPr>
          <w:b/>
          <w:i/>
        </w:rPr>
        <w:t>values</w:t>
      </w:r>
      <w:r>
        <w:t xml:space="preserve"> that may often be unexpressed and taken for granted, </w:t>
      </w:r>
    </w:p>
    <w:p w:rsidR="00E85970" w:rsidRDefault="00E85970" w:rsidP="00E85970">
      <w:pPr>
        <w:pStyle w:val="ListParagraph"/>
        <w:numPr>
          <w:ilvl w:val="0"/>
          <w:numId w:val="4"/>
        </w:numPr>
      </w:pPr>
      <w:r>
        <w:t xml:space="preserve">mental models of </w:t>
      </w:r>
      <w:r w:rsidRPr="00E62F92">
        <w:rPr>
          <w:b/>
          <w:i/>
        </w:rPr>
        <w:t>difference</w:t>
      </w:r>
      <w:r>
        <w:t xml:space="preserve"> or </w:t>
      </w:r>
      <w:r w:rsidRPr="00B77891">
        <w:rPr>
          <w:b/>
          <w:i/>
        </w:rPr>
        <w:t>otherness</w:t>
      </w:r>
      <w:r>
        <w:t xml:space="preserve">, </w:t>
      </w:r>
    </w:p>
    <w:p w:rsidR="00E85970" w:rsidRDefault="00E85970" w:rsidP="00E85970">
      <w:pPr>
        <w:pStyle w:val="ListParagraph"/>
        <w:numPr>
          <w:ilvl w:val="0"/>
          <w:numId w:val="4"/>
        </w:numPr>
      </w:pPr>
      <w:r>
        <w:t xml:space="preserve">understanding of the </w:t>
      </w:r>
      <w:r>
        <w:rPr>
          <w:b/>
          <w:i/>
        </w:rPr>
        <w:t>ideal</w:t>
      </w:r>
      <w:r>
        <w:t>, and</w:t>
      </w:r>
    </w:p>
    <w:p w:rsidR="00E85970" w:rsidRDefault="00E85970" w:rsidP="00E85970">
      <w:pPr>
        <w:pStyle w:val="ListParagraph"/>
        <w:numPr>
          <w:ilvl w:val="0"/>
          <w:numId w:val="4"/>
        </w:numPr>
      </w:pPr>
      <w:r>
        <w:t xml:space="preserve">perceptions of </w:t>
      </w:r>
      <w:r>
        <w:rPr>
          <w:b/>
          <w:i/>
        </w:rPr>
        <w:t>valued or devalued roles</w:t>
      </w:r>
      <w:r>
        <w:t>.</w:t>
      </w:r>
    </w:p>
    <w:p w:rsidR="00E85970" w:rsidRDefault="00E85970" w:rsidP="00E85970">
      <w:r>
        <w:t>These ways of thinking have their roots in the exclusion of people over centuries on the basis of such characteristics as ethnicity, gender, identity, disability or other intrinsic features of people (Das 2009). For example, seeing people only in terms of their impairments and the notion of the ‘typical worker’ can result in discriminatory behaviour (Harma at el 2013; Foster and Wass, 2013).</w:t>
      </w:r>
      <w:r w:rsidRPr="005633F1">
        <w:t xml:space="preserve"> </w:t>
      </w:r>
      <w:r>
        <w:t>These mental models have enabled not only exclusion, but also discrimination, alienation and persecution in different ways (Balibar 2005; Simpson 2011).</w:t>
      </w:r>
    </w:p>
    <w:p w:rsidR="00E85970" w:rsidRDefault="00E85970" w:rsidP="00E85970">
      <w:r>
        <w:t xml:space="preserve">Perceptions of valued or devalued roles also drive exclusion. Those who fill valued roles will be treated well, but those who fill devalued roles will be treated badly by others (Wolfensburger 2000). People who fill devalued roles often include those with impairments, unorthodox behaviours, body characteristics that are perceived negatively (e.g. obese, disfigured), who may rebel in some way against the social order, poor, unemployed and culturally unassimilated. </w:t>
      </w:r>
    </w:p>
    <w:p w:rsidR="00E85970" w:rsidRDefault="00E85970" w:rsidP="00E85970">
      <w:r>
        <w:t xml:space="preserve">Each of these perceptions and ways of thinking can result in a range of exclusionary practices. For example, people with mental health problems are often excluded because of stigma and discrimination, and low expectations of what they can achieve </w:t>
      </w:r>
      <w:r w:rsidRPr="00B95A62">
        <w:t>(Social Exclusion Unit 2004b).</w:t>
      </w:r>
    </w:p>
    <w:p w:rsidR="00E85970" w:rsidRDefault="00E85970" w:rsidP="00E85970"/>
    <w:p w:rsidR="00E85970" w:rsidRDefault="00E85970" w:rsidP="00E85970"/>
    <w:p w:rsidR="00E85970" w:rsidRPr="00E62F92" w:rsidRDefault="00E85970" w:rsidP="00E85970"/>
    <w:p w:rsidR="00E85970" w:rsidRDefault="00E85970" w:rsidP="00E85970">
      <w:pPr>
        <w:pStyle w:val="Heading2"/>
        <w:numPr>
          <w:ilvl w:val="0"/>
          <w:numId w:val="0"/>
        </w:numPr>
        <w:ind w:left="510" w:hanging="510"/>
      </w:pPr>
      <w:bookmarkStart w:id="6" w:name="_Toc403383040"/>
      <w:r>
        <w:lastRenderedPageBreak/>
        <w:t>Structural and socio-economic drivers of exclusion</w:t>
      </w:r>
      <w:bookmarkEnd w:id="6"/>
    </w:p>
    <w:p w:rsidR="00E85970" w:rsidRDefault="00E85970" w:rsidP="00E85970">
      <w:r>
        <w:t>The key structural and socio-economic drivers of exclusion are summarised below:</w:t>
      </w:r>
    </w:p>
    <w:tbl>
      <w:tblPr>
        <w:tblW w:w="8791" w:type="dxa"/>
        <w:tblCellMar>
          <w:left w:w="0" w:type="dxa"/>
          <w:right w:w="0" w:type="dxa"/>
        </w:tblCellMar>
        <w:tblLook w:val="0420" w:firstRow="1" w:lastRow="0" w:firstColumn="0" w:lastColumn="0" w:noHBand="0" w:noVBand="1"/>
      </w:tblPr>
      <w:tblGrid>
        <w:gridCol w:w="1845"/>
        <w:gridCol w:w="6946"/>
      </w:tblGrid>
      <w:tr w:rsidR="00E85970" w:rsidRPr="00E64700" w:rsidTr="00A6639F">
        <w:trPr>
          <w:trHeight w:val="462"/>
        </w:trPr>
        <w:tc>
          <w:tcPr>
            <w:tcW w:w="18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E85970" w:rsidRPr="00E64700" w:rsidRDefault="00E85970" w:rsidP="00A6639F">
            <w:pPr>
              <w:spacing w:after="200" w:line="276" w:lineRule="auto"/>
              <w:rPr>
                <w:szCs w:val="22"/>
              </w:rPr>
            </w:pPr>
            <w:r w:rsidRPr="00E64700">
              <w:rPr>
                <w:b/>
                <w:bCs/>
                <w:color w:val="FFFFFF" w:themeColor="background1"/>
                <w:szCs w:val="22"/>
              </w:rPr>
              <w:t>Drivers</w:t>
            </w:r>
          </w:p>
        </w:tc>
        <w:tc>
          <w:tcPr>
            <w:tcW w:w="694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E85970" w:rsidRPr="00E64700" w:rsidRDefault="00E85970" w:rsidP="00A6639F">
            <w:pPr>
              <w:spacing w:after="200" w:line="276" w:lineRule="auto"/>
              <w:rPr>
                <w:szCs w:val="22"/>
              </w:rPr>
            </w:pPr>
            <w:r w:rsidRPr="00E64700">
              <w:rPr>
                <w:b/>
                <w:bCs/>
                <w:color w:val="FFFFFF" w:themeColor="background1"/>
                <w:szCs w:val="22"/>
              </w:rPr>
              <w:t>Associations and impacts</w:t>
            </w:r>
          </w:p>
        </w:tc>
      </w:tr>
      <w:tr w:rsidR="00E85970" w:rsidRPr="00E64700" w:rsidTr="00A6639F">
        <w:trPr>
          <w:trHeight w:val="584"/>
        </w:trPr>
        <w:tc>
          <w:tcPr>
            <w:tcW w:w="18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A6639F">
            <w:pPr>
              <w:spacing w:line="276" w:lineRule="auto"/>
              <w:rPr>
                <w:szCs w:val="22"/>
              </w:rPr>
            </w:pPr>
            <w:r w:rsidRPr="00E64700">
              <w:rPr>
                <w:szCs w:val="22"/>
              </w:rPr>
              <w:t>Low income</w:t>
            </w:r>
          </w:p>
        </w:tc>
        <w:tc>
          <w:tcPr>
            <w:tcW w:w="694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Default="00E85970" w:rsidP="00E85970">
            <w:pPr>
              <w:pStyle w:val="ListParagraph"/>
              <w:numPr>
                <w:ilvl w:val="0"/>
                <w:numId w:val="5"/>
              </w:numPr>
              <w:spacing w:line="240" w:lineRule="auto"/>
              <w:ind w:left="281" w:hanging="283"/>
              <w:rPr>
                <w:rFonts w:eastAsiaTheme="minorEastAsia"/>
                <w:szCs w:val="22"/>
              </w:rPr>
            </w:pPr>
            <w:r w:rsidRPr="00E64700">
              <w:rPr>
                <w:rFonts w:eastAsiaTheme="minorEastAsia"/>
                <w:szCs w:val="22"/>
              </w:rPr>
              <w:t>Associated with unemployment</w:t>
            </w:r>
          </w:p>
          <w:p w:rsidR="00E85970" w:rsidRPr="00E64700" w:rsidRDefault="00E85970" w:rsidP="00E85970">
            <w:pPr>
              <w:pStyle w:val="ListParagraph"/>
              <w:numPr>
                <w:ilvl w:val="0"/>
                <w:numId w:val="5"/>
              </w:numPr>
              <w:spacing w:line="240" w:lineRule="auto"/>
              <w:ind w:left="281" w:hanging="283"/>
              <w:rPr>
                <w:rFonts w:eastAsiaTheme="minorEastAsia"/>
                <w:szCs w:val="22"/>
              </w:rPr>
            </w:pPr>
            <w:r>
              <w:rPr>
                <w:rFonts w:eastAsiaTheme="minorEastAsia"/>
                <w:szCs w:val="22"/>
              </w:rPr>
              <w:t>Impacts on opportunities in other areas (costs)</w:t>
            </w:r>
          </w:p>
          <w:p w:rsidR="00E85970" w:rsidRPr="00E64700" w:rsidRDefault="00E85970" w:rsidP="00E85970">
            <w:pPr>
              <w:pStyle w:val="ListParagraph"/>
              <w:numPr>
                <w:ilvl w:val="0"/>
                <w:numId w:val="5"/>
              </w:numPr>
              <w:spacing w:line="240" w:lineRule="auto"/>
              <w:ind w:left="281" w:hanging="283"/>
              <w:rPr>
                <w:szCs w:val="22"/>
              </w:rPr>
            </w:pPr>
            <w:r w:rsidRPr="00E64700">
              <w:rPr>
                <w:rFonts w:eastAsiaTheme="minorEastAsia"/>
                <w:szCs w:val="22"/>
              </w:rPr>
              <w:t>Disabled people are among the most low paid</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A6639F">
            <w:pPr>
              <w:spacing w:line="276" w:lineRule="auto"/>
              <w:rPr>
                <w:szCs w:val="22"/>
              </w:rPr>
            </w:pPr>
            <w:r w:rsidRPr="00E64700">
              <w:rPr>
                <w:szCs w:val="22"/>
              </w:rPr>
              <w:t>Unemployment</w:t>
            </w:r>
          </w:p>
        </w:tc>
        <w:tc>
          <w:tcPr>
            <w:tcW w:w="69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E85970">
            <w:pPr>
              <w:pStyle w:val="ListParagraph"/>
              <w:numPr>
                <w:ilvl w:val="0"/>
                <w:numId w:val="6"/>
              </w:numPr>
              <w:spacing w:line="240" w:lineRule="auto"/>
              <w:ind w:left="281" w:hanging="283"/>
              <w:rPr>
                <w:rFonts w:eastAsiaTheme="minorEastAsia"/>
                <w:szCs w:val="22"/>
              </w:rPr>
            </w:pPr>
            <w:r w:rsidRPr="00E64700">
              <w:rPr>
                <w:rFonts w:eastAsiaTheme="minorEastAsia"/>
                <w:szCs w:val="22"/>
              </w:rPr>
              <w:t>Reduces social networks and income</w:t>
            </w:r>
          </w:p>
          <w:p w:rsidR="00E85970" w:rsidRPr="00E64700" w:rsidRDefault="00E85970" w:rsidP="00E85970">
            <w:pPr>
              <w:pStyle w:val="ListParagraph"/>
              <w:numPr>
                <w:ilvl w:val="0"/>
                <w:numId w:val="6"/>
              </w:numPr>
              <w:spacing w:line="240" w:lineRule="auto"/>
              <w:ind w:left="281" w:hanging="283"/>
              <w:rPr>
                <w:rFonts w:eastAsiaTheme="minorEastAsia"/>
                <w:szCs w:val="22"/>
              </w:rPr>
            </w:pPr>
            <w:r w:rsidRPr="00E64700">
              <w:rPr>
                <w:rFonts w:eastAsiaTheme="minorEastAsia"/>
                <w:szCs w:val="22"/>
              </w:rPr>
              <w:t>Associated with ill-health, low education attainment</w:t>
            </w:r>
          </w:p>
          <w:p w:rsidR="00E85970" w:rsidRPr="00E64700" w:rsidRDefault="00E85970" w:rsidP="00E85970">
            <w:pPr>
              <w:pStyle w:val="ListParagraph"/>
              <w:numPr>
                <w:ilvl w:val="0"/>
                <w:numId w:val="6"/>
              </w:numPr>
              <w:spacing w:line="240" w:lineRule="auto"/>
              <w:ind w:left="281" w:hanging="283"/>
              <w:rPr>
                <w:szCs w:val="22"/>
              </w:rPr>
            </w:pPr>
            <w:r w:rsidRPr="00E64700">
              <w:rPr>
                <w:rFonts w:eastAsiaTheme="minorEastAsia"/>
                <w:szCs w:val="22"/>
              </w:rPr>
              <w:t>Disability and perceptions of ability can reduce unemployment opportunities for disabled people</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A6639F">
            <w:pPr>
              <w:spacing w:line="276" w:lineRule="auto"/>
              <w:rPr>
                <w:szCs w:val="22"/>
              </w:rPr>
            </w:pPr>
            <w:r w:rsidRPr="00E64700">
              <w:rPr>
                <w:szCs w:val="22"/>
              </w:rPr>
              <w:t>Education</w:t>
            </w:r>
          </w:p>
        </w:tc>
        <w:tc>
          <w:tcPr>
            <w:tcW w:w="69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E85970">
            <w:pPr>
              <w:pStyle w:val="ListParagraph"/>
              <w:numPr>
                <w:ilvl w:val="0"/>
                <w:numId w:val="7"/>
              </w:numPr>
              <w:spacing w:line="240" w:lineRule="auto"/>
              <w:ind w:left="281" w:hanging="283"/>
              <w:rPr>
                <w:rFonts w:eastAsiaTheme="minorEastAsia"/>
                <w:szCs w:val="22"/>
              </w:rPr>
            </w:pPr>
            <w:r w:rsidRPr="00E64700">
              <w:rPr>
                <w:rFonts w:eastAsiaTheme="minorEastAsia"/>
                <w:szCs w:val="22"/>
              </w:rPr>
              <w:t>Predicts adult employment and earning</w:t>
            </w:r>
          </w:p>
          <w:p w:rsidR="00E85970" w:rsidRPr="00E64700" w:rsidRDefault="00E85970" w:rsidP="00E85970">
            <w:pPr>
              <w:pStyle w:val="ListParagraph"/>
              <w:numPr>
                <w:ilvl w:val="0"/>
                <w:numId w:val="7"/>
              </w:numPr>
              <w:spacing w:line="240" w:lineRule="auto"/>
              <w:ind w:left="281" w:hanging="283"/>
              <w:rPr>
                <w:szCs w:val="22"/>
              </w:rPr>
            </w:pPr>
            <w:r w:rsidRPr="00E64700">
              <w:rPr>
                <w:rFonts w:eastAsiaTheme="minorEastAsia"/>
                <w:szCs w:val="22"/>
              </w:rPr>
              <w:t xml:space="preserve">Impacts on </w:t>
            </w:r>
            <w:r w:rsidRPr="00E64700">
              <w:rPr>
                <w:szCs w:val="22"/>
              </w:rPr>
              <w:t>health, depression, and civic participation, interaction skills and motivation</w:t>
            </w:r>
          </w:p>
          <w:p w:rsidR="00E85970" w:rsidRPr="00E64700" w:rsidRDefault="00E85970" w:rsidP="00E85970">
            <w:pPr>
              <w:pStyle w:val="ListParagraph"/>
              <w:numPr>
                <w:ilvl w:val="0"/>
                <w:numId w:val="7"/>
              </w:numPr>
              <w:spacing w:line="240" w:lineRule="auto"/>
              <w:ind w:left="281" w:hanging="283"/>
              <w:rPr>
                <w:szCs w:val="22"/>
              </w:rPr>
            </w:pPr>
            <w:r w:rsidRPr="00E64700">
              <w:rPr>
                <w:szCs w:val="22"/>
              </w:rPr>
              <w:t>Affected by child and family characteristics, school factors, the relationships between parents and school, and locality factors.</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A6639F">
            <w:pPr>
              <w:spacing w:line="276" w:lineRule="auto"/>
              <w:rPr>
                <w:szCs w:val="22"/>
              </w:rPr>
            </w:pPr>
            <w:r w:rsidRPr="00E64700">
              <w:rPr>
                <w:szCs w:val="22"/>
              </w:rPr>
              <w:t>Transport</w:t>
            </w:r>
          </w:p>
        </w:tc>
        <w:tc>
          <w:tcPr>
            <w:tcW w:w="69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E85970">
            <w:pPr>
              <w:pStyle w:val="ListParagraph"/>
              <w:numPr>
                <w:ilvl w:val="0"/>
                <w:numId w:val="8"/>
              </w:numPr>
              <w:spacing w:line="240" w:lineRule="auto"/>
              <w:ind w:left="281" w:hanging="283"/>
              <w:rPr>
                <w:szCs w:val="22"/>
              </w:rPr>
            </w:pPr>
            <w:r w:rsidRPr="00E64700">
              <w:rPr>
                <w:szCs w:val="22"/>
              </w:rPr>
              <w:t>Restricts access to work, education, services, food shopping and socio-cultural activities</w:t>
            </w:r>
          </w:p>
          <w:p w:rsidR="00E85970" w:rsidRPr="00E64700" w:rsidRDefault="00E85970" w:rsidP="00E85970">
            <w:pPr>
              <w:pStyle w:val="ListParagraph"/>
              <w:numPr>
                <w:ilvl w:val="0"/>
                <w:numId w:val="8"/>
              </w:numPr>
              <w:spacing w:line="240" w:lineRule="auto"/>
              <w:ind w:left="281" w:hanging="283"/>
              <w:rPr>
                <w:szCs w:val="22"/>
              </w:rPr>
            </w:pPr>
            <w:r w:rsidRPr="00E64700">
              <w:rPr>
                <w:szCs w:val="22"/>
              </w:rPr>
              <w:t>Access hindered by costs, reliability and safety</w:t>
            </w:r>
          </w:p>
          <w:p w:rsidR="00E85970" w:rsidRPr="00E64700" w:rsidRDefault="00E85970" w:rsidP="00E85970">
            <w:pPr>
              <w:pStyle w:val="ListParagraph"/>
              <w:numPr>
                <w:ilvl w:val="0"/>
                <w:numId w:val="8"/>
              </w:numPr>
              <w:spacing w:line="240" w:lineRule="auto"/>
              <w:ind w:left="281" w:hanging="283"/>
              <w:rPr>
                <w:szCs w:val="22"/>
              </w:rPr>
            </w:pPr>
            <w:r w:rsidRPr="00E64700">
              <w:rPr>
                <w:szCs w:val="22"/>
              </w:rPr>
              <w:t xml:space="preserve">Disabled peoples’ transport options can be </w:t>
            </w:r>
            <w:r>
              <w:rPr>
                <w:szCs w:val="22"/>
              </w:rPr>
              <w:t xml:space="preserve">limited by </w:t>
            </w:r>
            <w:r w:rsidRPr="00E64700">
              <w:rPr>
                <w:szCs w:val="22"/>
              </w:rPr>
              <w:t xml:space="preserve">ability to drive and the lack of accessible public transport options </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A6639F">
            <w:pPr>
              <w:spacing w:after="200" w:line="276" w:lineRule="auto"/>
              <w:rPr>
                <w:szCs w:val="22"/>
              </w:rPr>
            </w:pPr>
            <w:r w:rsidRPr="00E64700">
              <w:rPr>
                <w:szCs w:val="22"/>
              </w:rPr>
              <w:t>Housing</w:t>
            </w:r>
          </w:p>
        </w:tc>
        <w:tc>
          <w:tcPr>
            <w:tcW w:w="69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E85970">
            <w:pPr>
              <w:pStyle w:val="ListParagraph"/>
              <w:numPr>
                <w:ilvl w:val="0"/>
                <w:numId w:val="9"/>
              </w:numPr>
              <w:spacing w:after="200" w:line="276" w:lineRule="auto"/>
              <w:ind w:left="281" w:hanging="284"/>
              <w:rPr>
                <w:szCs w:val="22"/>
              </w:rPr>
            </w:pPr>
            <w:r w:rsidRPr="00E64700">
              <w:rPr>
                <w:szCs w:val="22"/>
              </w:rPr>
              <w:t>Poor housing and homelessness contributes to poor health and well-being</w:t>
            </w:r>
          </w:p>
          <w:p w:rsidR="00E85970" w:rsidRPr="00E64700" w:rsidRDefault="00E85970" w:rsidP="00E85970">
            <w:pPr>
              <w:pStyle w:val="ListParagraph"/>
              <w:numPr>
                <w:ilvl w:val="0"/>
                <w:numId w:val="9"/>
              </w:numPr>
              <w:spacing w:after="200" w:line="276" w:lineRule="auto"/>
              <w:ind w:left="281" w:hanging="284"/>
              <w:rPr>
                <w:szCs w:val="22"/>
              </w:rPr>
            </w:pPr>
            <w:r w:rsidRPr="00E64700">
              <w:rPr>
                <w:szCs w:val="22"/>
              </w:rPr>
              <w:t>Housing is affected by its cost and people’s income</w:t>
            </w:r>
          </w:p>
          <w:p w:rsidR="00E85970" w:rsidRPr="00E64700" w:rsidRDefault="00E85970" w:rsidP="00E85970">
            <w:pPr>
              <w:pStyle w:val="ListParagraph"/>
              <w:numPr>
                <w:ilvl w:val="0"/>
                <w:numId w:val="9"/>
              </w:numPr>
              <w:spacing w:after="200" w:line="276" w:lineRule="auto"/>
              <w:ind w:left="281" w:hanging="284"/>
              <w:rPr>
                <w:szCs w:val="22"/>
              </w:rPr>
            </w:pPr>
            <w:r w:rsidRPr="00E64700">
              <w:rPr>
                <w:szCs w:val="22"/>
              </w:rPr>
              <w:t>Low level of pay and unemployment experienced by disabled people can result in poor living conditions</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A6639F">
            <w:pPr>
              <w:spacing w:after="200" w:line="276" w:lineRule="auto"/>
              <w:rPr>
                <w:szCs w:val="22"/>
              </w:rPr>
            </w:pPr>
            <w:r w:rsidRPr="00E64700">
              <w:rPr>
                <w:szCs w:val="22"/>
              </w:rPr>
              <w:t>Physical and mental health</w:t>
            </w:r>
          </w:p>
        </w:tc>
        <w:tc>
          <w:tcPr>
            <w:tcW w:w="69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E85970">
            <w:pPr>
              <w:pStyle w:val="ListParagraph"/>
              <w:numPr>
                <w:ilvl w:val="0"/>
                <w:numId w:val="10"/>
              </w:numPr>
              <w:spacing w:after="200" w:line="276" w:lineRule="auto"/>
              <w:ind w:left="282" w:hanging="282"/>
              <w:rPr>
                <w:szCs w:val="22"/>
              </w:rPr>
            </w:pPr>
            <w:r w:rsidRPr="00E64700">
              <w:rPr>
                <w:szCs w:val="22"/>
              </w:rPr>
              <w:t xml:space="preserve">Drugs, alcohol, poor mental health and teenage pregnancy are drivers and consequences of social exclusion </w:t>
            </w:r>
          </w:p>
          <w:p w:rsidR="00E85970" w:rsidRPr="00E64700" w:rsidRDefault="00E85970" w:rsidP="00E85970">
            <w:pPr>
              <w:pStyle w:val="ListParagraph"/>
              <w:numPr>
                <w:ilvl w:val="0"/>
                <w:numId w:val="10"/>
              </w:numPr>
              <w:spacing w:after="200" w:line="276" w:lineRule="auto"/>
              <w:ind w:left="282" w:hanging="282"/>
              <w:rPr>
                <w:szCs w:val="22"/>
              </w:rPr>
            </w:pPr>
            <w:r w:rsidRPr="00E64700">
              <w:rPr>
                <w:szCs w:val="22"/>
              </w:rPr>
              <w:t>Impacts upon employment, housing, income and access to services and social networks</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A6639F">
            <w:pPr>
              <w:spacing w:after="200" w:line="276" w:lineRule="auto"/>
              <w:rPr>
                <w:szCs w:val="22"/>
              </w:rPr>
            </w:pPr>
            <w:r w:rsidRPr="00E64700">
              <w:rPr>
                <w:szCs w:val="22"/>
              </w:rPr>
              <w:t>Discrimination</w:t>
            </w:r>
          </w:p>
        </w:tc>
        <w:tc>
          <w:tcPr>
            <w:tcW w:w="69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E85970" w:rsidRPr="00E64700" w:rsidRDefault="00E85970" w:rsidP="00E85970">
            <w:pPr>
              <w:pStyle w:val="ListParagraph"/>
              <w:numPr>
                <w:ilvl w:val="0"/>
                <w:numId w:val="11"/>
              </w:numPr>
              <w:spacing w:after="200" w:line="276" w:lineRule="auto"/>
              <w:ind w:left="282" w:hanging="282"/>
              <w:rPr>
                <w:szCs w:val="22"/>
              </w:rPr>
            </w:pPr>
            <w:r w:rsidRPr="00E64700">
              <w:rPr>
                <w:szCs w:val="22"/>
              </w:rPr>
              <w:t>Reinforces disadvantage and affects people’s self-perception, self-esteem and self-confidence</w:t>
            </w:r>
          </w:p>
        </w:tc>
      </w:tr>
      <w:tr w:rsidR="00E85970" w:rsidRPr="00E64700" w:rsidTr="00A6639F">
        <w:trPr>
          <w:trHeight w:val="584"/>
        </w:trPr>
        <w:tc>
          <w:tcPr>
            <w:tcW w:w="18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E64700" w:rsidRDefault="00E85970" w:rsidP="00A6639F">
            <w:pPr>
              <w:spacing w:after="200" w:line="276" w:lineRule="auto"/>
              <w:rPr>
                <w:szCs w:val="22"/>
              </w:rPr>
            </w:pPr>
            <w:r w:rsidRPr="00E64700">
              <w:rPr>
                <w:szCs w:val="22"/>
              </w:rPr>
              <w:t>Features of local areas</w:t>
            </w:r>
          </w:p>
        </w:tc>
        <w:tc>
          <w:tcPr>
            <w:tcW w:w="69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E85970" w:rsidRPr="00314742" w:rsidRDefault="00E85970" w:rsidP="00E85970">
            <w:pPr>
              <w:pStyle w:val="ListParagraph"/>
              <w:numPr>
                <w:ilvl w:val="0"/>
                <w:numId w:val="11"/>
              </w:numPr>
              <w:spacing w:after="200" w:line="276" w:lineRule="auto"/>
              <w:ind w:left="282" w:hanging="282"/>
              <w:rPr>
                <w:szCs w:val="22"/>
              </w:rPr>
            </w:pPr>
            <w:r w:rsidRPr="00E64700">
              <w:rPr>
                <w:szCs w:val="22"/>
              </w:rPr>
              <w:t xml:space="preserve">Crime, fear of crime, local economies and lack of social networks can </w:t>
            </w:r>
            <w:r>
              <w:rPr>
                <w:szCs w:val="22"/>
              </w:rPr>
              <w:t>drive sense of fragility and isolation</w:t>
            </w:r>
          </w:p>
        </w:tc>
      </w:tr>
    </w:tbl>
    <w:p w:rsidR="00E85970" w:rsidRDefault="00E85970" w:rsidP="00E85970"/>
    <w:p w:rsidR="00E85970" w:rsidRDefault="00E85970" w:rsidP="00E85970">
      <w:r>
        <w:t xml:space="preserve">The literature has also identified the relationships and associations between the different drivers, which can result in individuals and groups experiencing multiple disadvantages. </w:t>
      </w:r>
    </w:p>
    <w:p w:rsidR="00E85970" w:rsidRDefault="00E85970" w:rsidP="00E85970">
      <w:r>
        <w:rPr>
          <w:noProof/>
        </w:rPr>
        <mc:AlternateContent>
          <mc:Choice Requires="wps">
            <w:drawing>
              <wp:anchor distT="0" distB="0" distL="114300" distR="114300" simplePos="0" relativeHeight="251665408" behindDoc="0" locked="0" layoutInCell="1" allowOverlap="1" wp14:anchorId="35BF397F" wp14:editId="040D964E">
                <wp:simplePos x="0" y="0"/>
                <wp:positionH relativeFrom="column">
                  <wp:align>center</wp:align>
                </wp:positionH>
                <wp:positionV relativeFrom="paragraph">
                  <wp:posOffset>0</wp:posOffset>
                </wp:positionV>
                <wp:extent cx="3985260" cy="1495425"/>
                <wp:effectExtent l="0" t="0" r="152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1495425"/>
                        </a:xfrm>
                        <a:prstGeom prst="rect">
                          <a:avLst/>
                        </a:prstGeom>
                        <a:solidFill>
                          <a:schemeClr val="accent1"/>
                        </a:solidFill>
                        <a:ln>
                          <a:headEnd/>
                          <a:tailEnd/>
                        </a:ln>
                      </wps:spPr>
                      <wps:style>
                        <a:lnRef idx="2">
                          <a:schemeClr val="accent1"/>
                        </a:lnRef>
                        <a:fillRef idx="1">
                          <a:schemeClr val="lt1"/>
                        </a:fillRef>
                        <a:effectRef idx="0">
                          <a:schemeClr val="accent1"/>
                        </a:effectRef>
                        <a:fontRef idx="minor">
                          <a:schemeClr val="dk1"/>
                        </a:fontRef>
                      </wps:style>
                      <wps:txbx>
                        <w:txbxContent>
                          <w:p w:rsidR="00E85970" w:rsidRPr="005633F1" w:rsidRDefault="00E85970" w:rsidP="00E85970">
                            <w:pPr>
                              <w:rPr>
                                <w:b/>
                                <w:color w:val="FFFFFF" w:themeColor="background1"/>
                                <w:sz w:val="28"/>
                                <w:szCs w:val="28"/>
                              </w:rPr>
                            </w:pPr>
                            <w:r w:rsidRPr="005633F1">
                              <w:rPr>
                                <w:b/>
                                <w:color w:val="FFFFFF" w:themeColor="background1"/>
                                <w:sz w:val="28"/>
                                <w:szCs w:val="28"/>
                              </w:rPr>
                              <w:t xml:space="preserve">Low incomes, unemployment, </w:t>
                            </w:r>
                            <w:r>
                              <w:rPr>
                                <w:b/>
                                <w:color w:val="FFFFFF" w:themeColor="background1"/>
                                <w:sz w:val="28"/>
                                <w:szCs w:val="28"/>
                              </w:rPr>
                              <w:t xml:space="preserve">lack of </w:t>
                            </w:r>
                            <w:r w:rsidRPr="005633F1">
                              <w:rPr>
                                <w:b/>
                                <w:color w:val="FFFFFF" w:themeColor="background1"/>
                                <w:sz w:val="28"/>
                                <w:szCs w:val="28"/>
                              </w:rPr>
                              <w:t xml:space="preserve">education, </w:t>
                            </w:r>
                            <w:r>
                              <w:rPr>
                                <w:b/>
                                <w:color w:val="FFFFFF" w:themeColor="background1"/>
                                <w:sz w:val="28"/>
                                <w:szCs w:val="28"/>
                              </w:rPr>
                              <w:t xml:space="preserve">limited access to </w:t>
                            </w:r>
                            <w:r w:rsidRPr="005633F1">
                              <w:rPr>
                                <w:b/>
                                <w:color w:val="FFFFFF" w:themeColor="background1"/>
                                <w:sz w:val="28"/>
                                <w:szCs w:val="28"/>
                              </w:rPr>
                              <w:t xml:space="preserve">transport, poorer physical and mental health, and discrimination </w:t>
                            </w:r>
                            <w:r>
                              <w:rPr>
                                <w:b/>
                                <w:color w:val="FFFFFF" w:themeColor="background1"/>
                                <w:sz w:val="28"/>
                                <w:szCs w:val="28"/>
                              </w:rPr>
                              <w:t>are</w:t>
                            </w:r>
                            <w:r w:rsidRPr="005633F1">
                              <w:rPr>
                                <w:b/>
                                <w:color w:val="FFFFFF" w:themeColor="background1"/>
                                <w:sz w:val="28"/>
                                <w:szCs w:val="28"/>
                              </w:rPr>
                              <w:t xml:space="preserve"> </w:t>
                            </w:r>
                            <w:r>
                              <w:rPr>
                                <w:b/>
                                <w:color w:val="FFFFFF" w:themeColor="background1"/>
                                <w:sz w:val="28"/>
                                <w:szCs w:val="28"/>
                              </w:rPr>
                              <w:t>key</w:t>
                            </w:r>
                            <w:r w:rsidRPr="005633F1">
                              <w:rPr>
                                <w:b/>
                                <w:color w:val="FFFFFF" w:themeColor="background1"/>
                                <w:sz w:val="28"/>
                                <w:szCs w:val="28"/>
                              </w:rPr>
                              <w:t xml:space="preserve"> drivers of exclusion for disabled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5BF397F" id="Text Box 2" o:spid="_x0000_s1027" type="#_x0000_t202" style="position:absolute;margin-left:0;margin-top:0;width:313.8pt;height:117.75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" fillcolor="#4f81bd [3204]" strokecolor="#4f81bd [3204]" strokeweight="2pt">
                <v:textbox style="mso-fit-shape-to-text:t">
                  <w:txbxContent>
                    <w:p w:rsidR="00E85970" w:rsidRPr="005633F1" w:rsidRDefault="00E85970" w:rsidP="00E85970">
                      <w:pPr>
                        <w:rPr>
                          <w:b/>
                          <w:color w:val="FFFFFF" w:themeColor="background1"/>
                          <w:sz w:val="28"/>
                          <w:szCs w:val="28"/>
                        </w:rPr>
                      </w:pPr>
                      <w:r w:rsidRPr="005633F1">
                        <w:rPr>
                          <w:b/>
                          <w:color w:val="FFFFFF" w:themeColor="background1"/>
                          <w:sz w:val="28"/>
                          <w:szCs w:val="28"/>
                        </w:rPr>
                        <w:t xml:space="preserve">Low incomes, unemployment, </w:t>
                      </w:r>
                      <w:r>
                        <w:rPr>
                          <w:b/>
                          <w:color w:val="FFFFFF" w:themeColor="background1"/>
                          <w:sz w:val="28"/>
                          <w:szCs w:val="28"/>
                        </w:rPr>
                        <w:t xml:space="preserve">lack of </w:t>
                      </w:r>
                      <w:r w:rsidRPr="005633F1">
                        <w:rPr>
                          <w:b/>
                          <w:color w:val="FFFFFF" w:themeColor="background1"/>
                          <w:sz w:val="28"/>
                          <w:szCs w:val="28"/>
                        </w:rPr>
                        <w:t xml:space="preserve">education, </w:t>
                      </w:r>
                      <w:r>
                        <w:rPr>
                          <w:b/>
                          <w:color w:val="FFFFFF" w:themeColor="background1"/>
                          <w:sz w:val="28"/>
                          <w:szCs w:val="28"/>
                        </w:rPr>
                        <w:t xml:space="preserve">limited access to </w:t>
                      </w:r>
                      <w:r w:rsidRPr="005633F1">
                        <w:rPr>
                          <w:b/>
                          <w:color w:val="FFFFFF" w:themeColor="background1"/>
                          <w:sz w:val="28"/>
                          <w:szCs w:val="28"/>
                        </w:rPr>
                        <w:t xml:space="preserve">transport, poorer physical and mental health, and discrimination </w:t>
                      </w:r>
                      <w:r>
                        <w:rPr>
                          <w:b/>
                          <w:color w:val="FFFFFF" w:themeColor="background1"/>
                          <w:sz w:val="28"/>
                          <w:szCs w:val="28"/>
                        </w:rPr>
                        <w:t>are</w:t>
                      </w:r>
                      <w:r w:rsidRPr="005633F1">
                        <w:rPr>
                          <w:b/>
                          <w:color w:val="FFFFFF" w:themeColor="background1"/>
                          <w:sz w:val="28"/>
                          <w:szCs w:val="28"/>
                        </w:rPr>
                        <w:t xml:space="preserve"> </w:t>
                      </w:r>
                      <w:r>
                        <w:rPr>
                          <w:b/>
                          <w:color w:val="FFFFFF" w:themeColor="background1"/>
                          <w:sz w:val="28"/>
                          <w:szCs w:val="28"/>
                        </w:rPr>
                        <w:t>key</w:t>
                      </w:r>
                      <w:r w:rsidRPr="005633F1">
                        <w:rPr>
                          <w:b/>
                          <w:color w:val="FFFFFF" w:themeColor="background1"/>
                          <w:sz w:val="28"/>
                          <w:szCs w:val="28"/>
                        </w:rPr>
                        <w:t xml:space="preserve"> drivers of exclusion for disabled people.</w:t>
                      </w:r>
                    </w:p>
                  </w:txbxContent>
                </v:textbox>
              </v:shape>
            </w:pict>
          </mc:Fallback>
        </mc:AlternateContent>
      </w:r>
    </w:p>
    <w:p w:rsidR="00E85970" w:rsidRDefault="00E85970" w:rsidP="00E85970"/>
    <w:p w:rsidR="00E85970" w:rsidRDefault="00E85970" w:rsidP="00E85970">
      <w:pPr>
        <w:rPr>
          <w:lang w:eastAsia="en-US"/>
        </w:rPr>
      </w:pPr>
    </w:p>
    <w:p w:rsidR="00E85970" w:rsidRDefault="00E85970" w:rsidP="00E85970">
      <w:pPr>
        <w:rPr>
          <w:lang w:eastAsia="en-US"/>
        </w:rPr>
      </w:pPr>
    </w:p>
    <w:p w:rsidR="00E85970" w:rsidRDefault="00E85970" w:rsidP="00E85970">
      <w:pPr>
        <w:rPr>
          <w:lang w:eastAsia="en-US"/>
        </w:rPr>
      </w:pPr>
    </w:p>
    <w:p w:rsidR="00E85970" w:rsidRDefault="00E85970" w:rsidP="00E85970">
      <w:pPr>
        <w:pStyle w:val="Heading2"/>
        <w:numPr>
          <w:ilvl w:val="0"/>
          <w:numId w:val="0"/>
        </w:numPr>
      </w:pPr>
      <w:bookmarkStart w:id="7" w:name="_Toc403383041"/>
      <w:r>
        <w:t>Social, community, organisational, personal and individual drivers of exclusion</w:t>
      </w:r>
      <w:bookmarkEnd w:id="7"/>
    </w:p>
    <w:p w:rsidR="00E85970" w:rsidRDefault="00E85970" w:rsidP="00E85970">
      <w:r>
        <w:t xml:space="preserve">The drivers of exclusion result in exclusion at a societal, community, relational and individual level. The socio-ecological model </w:t>
      </w:r>
      <w:r w:rsidRPr="002A690B">
        <w:t>(D</w:t>
      </w:r>
      <w:r w:rsidRPr="00AB2A78">
        <w:t>ahlberg and Krug 2002</w:t>
      </w:r>
      <w:r>
        <w:t xml:space="preserve">) is a useful means of organising the different drivers and the contexts where exclusion can occur. For example, the diagram below identifies the role of mental models and their influence on societal levels of exclusion through media portrayal, notions of body image and in policy and legislation. </w:t>
      </w:r>
    </w:p>
    <w:p w:rsidR="00E85970" w:rsidRDefault="00E85970" w:rsidP="00E85970">
      <w:r>
        <w:t xml:space="preserve">At a community level, exclusion is driven through perceptions of understanding and knowledge of disabled people, discrimination and bullying, accessibility and transport, education and employment. </w:t>
      </w:r>
    </w:p>
    <w:p w:rsidR="00E85970" w:rsidRDefault="00E85970" w:rsidP="00E85970">
      <w:r>
        <w:t>Personal and social relationships also drive exclusion. Some disabled people need support from family or support workers to participate in the community, particularly given some of the structural and socio-economic barriers to inclusion. This support can be hindered by limited resources, as well as families’ concerns over discrimination or bullying (</w:t>
      </w:r>
      <w:r w:rsidRPr="00BF699B">
        <w:t>Anaby et al 2013, Kramer et al 2011,</w:t>
      </w:r>
      <w:r>
        <w:t xml:space="preserve"> Milner et al 2004). </w:t>
      </w:r>
    </w:p>
    <w:p w:rsidR="00E85970" w:rsidRDefault="00E85970" w:rsidP="00E85970">
      <w:r>
        <w:t xml:space="preserve">At an individual level, drivers of exclusion relate to an individual’s health and well-being, self-confidence and efficacy, access to support networks and material opportunity. These factors can limit opportunities for participation. </w:t>
      </w:r>
    </w:p>
    <w:p w:rsidR="00E85970" w:rsidRDefault="00E85970" w:rsidP="00E85970">
      <w:r>
        <w:t xml:space="preserve">Taken together, these factors mutually reinforce exclusionary practice, and negatively impact on outcomes for disabled people (WHO 2011; see on the following page). </w:t>
      </w:r>
    </w:p>
    <w:p w:rsidR="00E85970" w:rsidRDefault="00E85970" w:rsidP="00E85970">
      <w:pPr>
        <w:rPr>
          <w:b/>
          <w:noProof/>
        </w:rPr>
        <w:sectPr w:rsidR="00E85970">
          <w:headerReference w:type="first" r:id="rId19"/>
          <w:pgSz w:w="11906" w:h="16838"/>
          <w:pgMar w:top="1985" w:right="1588" w:bottom="1588" w:left="2155" w:header="709" w:footer="283" w:gutter="0"/>
          <w:cols w:space="708"/>
          <w:docGrid w:linePitch="360"/>
        </w:sectPr>
      </w:pPr>
    </w:p>
    <w:p w:rsidR="00E85970" w:rsidRDefault="00E85970" w:rsidP="00E85970">
      <w:pPr>
        <w:rPr>
          <w:b/>
          <w:noProof/>
        </w:rPr>
      </w:pPr>
      <w:r>
        <w:rPr>
          <w:b/>
          <w:noProof/>
        </w:rPr>
        <w:lastRenderedPageBreak/>
        <w:t>Key drivers of exclusion at a societal, community, relational and individual level</w:t>
      </w:r>
    </w:p>
    <w:p w:rsidR="00E85970" w:rsidRPr="00BB3C95" w:rsidRDefault="00E85970" w:rsidP="00E85970">
      <w:pPr>
        <w:rPr>
          <w:b/>
          <w:noProof/>
        </w:rPr>
      </w:pPr>
      <w:r>
        <w:rPr>
          <w:noProof/>
        </w:rPr>
        <w:drawing>
          <wp:anchor distT="0" distB="0" distL="114300" distR="114300" simplePos="0" relativeHeight="251666432" behindDoc="0" locked="0" layoutInCell="1" allowOverlap="1" wp14:anchorId="7FBE7A4B" wp14:editId="496687E1">
            <wp:simplePos x="0" y="0"/>
            <wp:positionH relativeFrom="column">
              <wp:posOffset>-5270</wp:posOffset>
            </wp:positionH>
            <wp:positionV relativeFrom="paragraph">
              <wp:posOffset>-1905</wp:posOffset>
            </wp:positionV>
            <wp:extent cx="8087096" cy="5034993"/>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vers and outcomes.emz"/>
                    <pic:cNvPicPr/>
                  </pic:nvPicPr>
                  <pic:blipFill>
                    <a:blip r:embed="rId20">
                      <a:extLst>
                        <a:ext uri="{28A0092B-C50C-407E-A947-70E740481C1C}">
                          <a14:useLocalDpi xmlns:a14="http://schemas.microsoft.com/office/drawing/2010/main" val="0"/>
                        </a:ext>
                      </a:extLst>
                    </a:blip>
                    <a:stretch>
                      <a:fillRect/>
                    </a:stretch>
                  </pic:blipFill>
                  <pic:spPr>
                    <a:xfrm>
                      <a:off x="0" y="0"/>
                      <a:ext cx="8087096" cy="5034993"/>
                    </a:xfrm>
                    <a:prstGeom prst="rect">
                      <a:avLst/>
                    </a:prstGeom>
                  </pic:spPr>
                </pic:pic>
              </a:graphicData>
            </a:graphic>
          </wp:anchor>
        </w:drawing>
      </w: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pPr>
    </w:p>
    <w:p w:rsidR="00E85970" w:rsidRDefault="00E85970" w:rsidP="00E85970">
      <w:pPr>
        <w:rPr>
          <w:noProof/>
        </w:rPr>
        <w:sectPr w:rsidR="00E85970">
          <w:pgSz w:w="16838" w:h="11906" w:orient="landscape"/>
          <w:pgMar w:top="2155" w:right="1985" w:bottom="1588" w:left="1588" w:header="709" w:footer="284" w:gutter="0"/>
          <w:cols w:space="708"/>
          <w:docGrid w:linePitch="360"/>
        </w:sectPr>
      </w:pPr>
    </w:p>
    <w:p w:rsidR="00E85970" w:rsidRDefault="00E85970" w:rsidP="00E85970">
      <w:pPr>
        <w:pStyle w:val="Heading2"/>
        <w:numPr>
          <w:ilvl w:val="0"/>
          <w:numId w:val="0"/>
        </w:numPr>
        <w:ind w:left="510" w:hanging="510"/>
      </w:pPr>
      <w:bookmarkStart w:id="8" w:name="_Toc403383042"/>
      <w:r>
        <w:lastRenderedPageBreak/>
        <w:t>Conclusion</w:t>
      </w:r>
      <w:bookmarkEnd w:id="8"/>
    </w:p>
    <w:p w:rsidR="00E85970" w:rsidRDefault="00E85970" w:rsidP="00E85970">
      <w:r>
        <w:t xml:space="preserve">Social exclusion is a complex concept that is defined and discussed in different ways. There are also multiple forms of exclusion including political, economic, social and cultural (Bhalla and Lapeyre 1997, GSDRC 2014, Stewart and Langer 2007). The literature presents many frameworks for understanding social exclusion, although the roles of mental models, structural and socio-economic factors are often cited. </w:t>
      </w:r>
    </w:p>
    <w:p w:rsidR="00E85970" w:rsidRDefault="00E85970" w:rsidP="00E85970">
      <w:r>
        <w:t>The key structural and socio-economic drivers identified in this review were low income, unemployment, education, transport, housing, physical and mental health, discrimination, and features of local areas, such as crime or the fear of crime (Social Exclusion Unit 2004a). The literature also identified the reinforcing nature of these drivers, which can often lead to multiple layers of disadvantage or exclusion for certain groups.</w:t>
      </w:r>
    </w:p>
    <w:p w:rsidR="007851DC" w:rsidRDefault="00E85970" w:rsidP="00E85970">
      <w:r>
        <w:t xml:space="preserve">The multiple levels and drivers highlight the complexities of addressing social exclusion, and indicate the need for approaches that work at a systems level. Think Differently’s social change approach offers an exciting multi-layered opportunity to address the social exclusion of disabled people.  </w:t>
      </w:r>
      <w:r w:rsidR="00010412">
        <w:t>Often interventions are focused on responding to an event that has occurred, but a social change approach, such as that of Think Differently, is instead focused at challenging the deeper values and structures that form attitudes and behaviours to disabled people.</w:t>
      </w:r>
    </w:p>
    <w:p w:rsidR="00E85970" w:rsidRDefault="00E85970" w:rsidP="00E85970"/>
    <w:p w:rsidR="00E85970" w:rsidRDefault="00E85970" w:rsidP="00E85970"/>
    <w:p w:rsidR="00E85970" w:rsidRDefault="00E85970">
      <w:pPr>
        <w:spacing w:after="200" w:line="276" w:lineRule="auto"/>
      </w:pPr>
      <w:r>
        <w:br w:type="page"/>
      </w:r>
    </w:p>
    <w:p w:rsidR="00E85970" w:rsidRDefault="00E85970" w:rsidP="00E85970">
      <w:pPr>
        <w:pStyle w:val="Heading1"/>
        <w:numPr>
          <w:ilvl w:val="0"/>
          <w:numId w:val="0"/>
        </w:numPr>
        <w:ind w:left="510" w:hanging="510"/>
      </w:pPr>
      <w:r>
        <w:lastRenderedPageBreak/>
        <w:t>References</w:t>
      </w:r>
    </w:p>
    <w:p w:rsidR="00D543F3" w:rsidRPr="002C3089" w:rsidRDefault="00D543F3" w:rsidP="00D543F3">
      <w:pPr>
        <w:spacing w:before="120" w:line="240" w:lineRule="auto"/>
        <w:rPr>
          <w:sz w:val="20"/>
          <w:szCs w:val="20"/>
        </w:rPr>
      </w:pPr>
      <w:r w:rsidRPr="002C3089">
        <w:rPr>
          <w:sz w:val="20"/>
          <w:szCs w:val="20"/>
        </w:rPr>
        <w:t xml:space="preserve">Anaby D, Hand C, Bradley L, DiRezze B, Forhan M, DiGiacomo A, Law M. 2013. The effect of the environment on participation of children and youth with disabilities: a scoping review. </w:t>
      </w:r>
      <w:r w:rsidRPr="002C3089">
        <w:rPr>
          <w:i/>
          <w:sz w:val="20"/>
          <w:szCs w:val="20"/>
        </w:rPr>
        <w:t>Disability and Rehabilitation</w:t>
      </w:r>
      <w:r w:rsidRPr="002C3089">
        <w:rPr>
          <w:sz w:val="20"/>
          <w:szCs w:val="20"/>
        </w:rPr>
        <w:t>. 35(19):1589-98</w:t>
      </w:r>
    </w:p>
    <w:p w:rsidR="00D543F3" w:rsidRPr="002C3089" w:rsidRDefault="00D543F3" w:rsidP="00D543F3">
      <w:pPr>
        <w:spacing w:before="120" w:line="240" w:lineRule="auto"/>
        <w:rPr>
          <w:sz w:val="20"/>
          <w:szCs w:val="20"/>
        </w:rPr>
      </w:pPr>
      <w:r w:rsidRPr="002C3089">
        <w:rPr>
          <w:sz w:val="20"/>
          <w:szCs w:val="20"/>
        </w:rPr>
        <w:t xml:space="preserve">Balibar E. 2005. Difference, Otherness, Exclusion. </w:t>
      </w:r>
      <w:r w:rsidRPr="002C3089">
        <w:rPr>
          <w:i/>
          <w:sz w:val="20"/>
          <w:szCs w:val="20"/>
        </w:rPr>
        <w:t>Parallax</w:t>
      </w:r>
      <w:r w:rsidRPr="002C3089">
        <w:rPr>
          <w:sz w:val="20"/>
          <w:szCs w:val="20"/>
        </w:rPr>
        <w:t>: 11:1, 19-34</w:t>
      </w:r>
    </w:p>
    <w:p w:rsidR="00D543F3" w:rsidRPr="002C3089" w:rsidRDefault="00BD28FD" w:rsidP="00D543F3">
      <w:pPr>
        <w:spacing w:before="120" w:line="240" w:lineRule="auto"/>
        <w:rPr>
          <w:sz w:val="20"/>
          <w:szCs w:val="20"/>
          <w:lang w:val="en-AU"/>
        </w:rPr>
      </w:pPr>
      <w:hyperlink r:id="rId21" w:history="1">
        <w:r w:rsidR="00D543F3" w:rsidRPr="002C3089">
          <w:rPr>
            <w:sz w:val="20"/>
            <w:szCs w:val="20"/>
            <w:lang w:val="en-AU"/>
          </w:rPr>
          <w:t xml:space="preserve">Bhalla A Lapeyre F. 1997. Social Exclusion: Towards an Analytical and Operational Framework. </w:t>
        </w:r>
        <w:r w:rsidR="00D543F3" w:rsidRPr="002C3089">
          <w:rPr>
            <w:i/>
            <w:sz w:val="20"/>
            <w:szCs w:val="20"/>
            <w:lang w:val="en-AU"/>
          </w:rPr>
          <w:t>Development and Change</w:t>
        </w:r>
        <w:r w:rsidR="00D543F3" w:rsidRPr="002C3089">
          <w:rPr>
            <w:sz w:val="20"/>
            <w:szCs w:val="20"/>
            <w:lang w:val="en-AU"/>
          </w:rPr>
          <w:t>,28 (3): 413-433</w:t>
        </w:r>
      </w:hyperlink>
    </w:p>
    <w:p w:rsidR="00D543F3" w:rsidRPr="002C3089" w:rsidRDefault="00D543F3" w:rsidP="00D543F3">
      <w:pPr>
        <w:spacing w:before="120" w:line="240" w:lineRule="auto"/>
        <w:rPr>
          <w:sz w:val="20"/>
          <w:szCs w:val="20"/>
        </w:rPr>
      </w:pPr>
      <w:r w:rsidRPr="002C3089">
        <w:rPr>
          <w:sz w:val="20"/>
          <w:szCs w:val="20"/>
        </w:rPr>
        <w:t xml:space="preserve">Dahlberg LL, Krug EG. 2002. Violence-a global public health problem. In: Krug E, Dahlberg LL, Mercy JA, Zwi AB, Lozano R, eds. </w:t>
      </w:r>
      <w:r w:rsidRPr="002C3089">
        <w:rPr>
          <w:i/>
          <w:sz w:val="20"/>
          <w:szCs w:val="20"/>
        </w:rPr>
        <w:t>World Report on Violence and Health</w:t>
      </w:r>
      <w:r w:rsidRPr="002C3089">
        <w:rPr>
          <w:sz w:val="20"/>
          <w:szCs w:val="20"/>
        </w:rPr>
        <w:t>. Geneva, Switzerland: World Health Organization. 1-56</w:t>
      </w:r>
    </w:p>
    <w:p w:rsidR="00D543F3" w:rsidRPr="002C3089" w:rsidRDefault="00BD28FD" w:rsidP="00D543F3">
      <w:pPr>
        <w:spacing w:before="120" w:line="240" w:lineRule="auto"/>
        <w:rPr>
          <w:sz w:val="20"/>
          <w:szCs w:val="20"/>
        </w:rPr>
      </w:pPr>
      <w:hyperlink r:id="rId22" w:history="1">
        <w:r w:rsidR="00D543F3" w:rsidRPr="002C3089">
          <w:rPr>
            <w:sz w:val="20"/>
            <w:szCs w:val="20"/>
          </w:rPr>
          <w:t xml:space="preserve">Das NK. 2009. Identity Politics and Social Exclusion in India’s North-East: The Case for Redistributive Justice. </w:t>
        </w:r>
        <w:r w:rsidR="00D543F3" w:rsidRPr="002C3089">
          <w:rPr>
            <w:i/>
            <w:sz w:val="20"/>
            <w:szCs w:val="20"/>
          </w:rPr>
          <w:t>Bangladesh e-Journal of Sociology.</w:t>
        </w:r>
        <w:r w:rsidR="00D543F3" w:rsidRPr="002C3089">
          <w:rPr>
            <w:sz w:val="20"/>
            <w:szCs w:val="20"/>
          </w:rPr>
          <w:t xml:space="preserve"> 6 (1)</w:t>
        </w:r>
      </w:hyperlink>
      <w:r w:rsidR="00D543F3" w:rsidRPr="002C3089">
        <w:rPr>
          <w:sz w:val="20"/>
          <w:szCs w:val="20"/>
        </w:rPr>
        <w:t xml:space="preserve"> </w:t>
      </w:r>
    </w:p>
    <w:p w:rsidR="00352F27" w:rsidRPr="00352F27" w:rsidRDefault="00352F27" w:rsidP="00352F27">
      <w:pPr>
        <w:spacing w:before="120" w:line="240" w:lineRule="auto"/>
        <w:rPr>
          <w:sz w:val="20"/>
          <w:szCs w:val="20"/>
        </w:rPr>
      </w:pPr>
      <w:r w:rsidRPr="00352F27">
        <w:rPr>
          <w:sz w:val="20"/>
          <w:szCs w:val="20"/>
        </w:rPr>
        <w:t>Foster, D. and Wass, V (2013). Disability in the Labour Market: An Exploration of Concepts of the Ideal Worker and Organisational Fit that Disadvantage Employees with Impairments.</w:t>
      </w:r>
      <w:r>
        <w:rPr>
          <w:sz w:val="20"/>
          <w:szCs w:val="20"/>
        </w:rPr>
        <w:t xml:space="preserve"> </w:t>
      </w:r>
      <w:r w:rsidRPr="00352F27">
        <w:rPr>
          <w:sz w:val="20"/>
          <w:szCs w:val="20"/>
        </w:rPr>
        <w:t>Sociology 47(4) 705-721.</w:t>
      </w:r>
    </w:p>
    <w:p w:rsidR="00D543F3" w:rsidRPr="002C3089" w:rsidRDefault="00D543F3" w:rsidP="00D543F3">
      <w:pPr>
        <w:spacing w:before="120" w:line="240" w:lineRule="auto"/>
        <w:rPr>
          <w:bCs/>
          <w:sz w:val="20"/>
          <w:szCs w:val="20"/>
        </w:rPr>
      </w:pPr>
      <w:r w:rsidRPr="002C3089">
        <w:rPr>
          <w:sz w:val="20"/>
          <w:szCs w:val="20"/>
        </w:rPr>
        <w:t xml:space="preserve">Governance, Social Development, Humanitarian (GSDRC) Applied Knowledge Services 2014. Social Exclusion Topic Guides. Internet: </w:t>
      </w:r>
      <w:r w:rsidRPr="0066469E">
        <w:rPr>
          <w:sz w:val="20"/>
          <w:szCs w:val="20"/>
        </w:rPr>
        <w:t>http://www.gsdrc.org/go/topic-guides/social-exclusion/causes-and-forms-of-social-exclusion-rights-citizenship-and-economic-exclusion</w:t>
      </w:r>
      <w:r w:rsidRPr="002C3089">
        <w:rPr>
          <w:sz w:val="20"/>
          <w:szCs w:val="20"/>
        </w:rPr>
        <w:t>. Accessed 15 June 2014.</w:t>
      </w:r>
    </w:p>
    <w:p w:rsidR="00D543F3" w:rsidRPr="002C3089" w:rsidRDefault="00D543F3" w:rsidP="00D543F3">
      <w:pPr>
        <w:spacing w:before="120" w:line="240" w:lineRule="auto"/>
        <w:rPr>
          <w:sz w:val="20"/>
          <w:szCs w:val="20"/>
        </w:rPr>
      </w:pPr>
      <w:r w:rsidRPr="002C3089">
        <w:rPr>
          <w:sz w:val="20"/>
          <w:szCs w:val="20"/>
        </w:rPr>
        <w:t xml:space="preserve">Harma K, Gombert A, Roussey J. 2013. Impact of Mainstreaming and Disability Visibility on Social Representations of Disability and Otherness Held by Junior High School Pupils. </w:t>
      </w:r>
      <w:r w:rsidRPr="002C3089">
        <w:rPr>
          <w:i/>
          <w:sz w:val="20"/>
          <w:szCs w:val="20"/>
        </w:rPr>
        <w:t>International Journal of Disability, Development and Education</w:t>
      </w:r>
      <w:r w:rsidRPr="002C3089">
        <w:rPr>
          <w:sz w:val="20"/>
          <w:szCs w:val="20"/>
        </w:rPr>
        <w:t>. 60(4): 312-331.</w:t>
      </w:r>
    </w:p>
    <w:p w:rsidR="00D543F3" w:rsidRPr="002C3089" w:rsidRDefault="00D543F3" w:rsidP="00D543F3">
      <w:pPr>
        <w:spacing w:before="120" w:line="240" w:lineRule="auto"/>
        <w:rPr>
          <w:sz w:val="20"/>
          <w:szCs w:val="20"/>
        </w:rPr>
      </w:pPr>
      <w:r w:rsidRPr="002C3089">
        <w:rPr>
          <w:sz w:val="20"/>
          <w:szCs w:val="20"/>
        </w:rPr>
        <w:t xml:space="preserve">Kramer JM, Olsen S, Mermelstein M, Balcells A, Liljenquist K. 2012. Youth with disabilities' perspectives of the environment and participation: a qualitative meta-synthesis. </w:t>
      </w:r>
      <w:r w:rsidRPr="002C3089">
        <w:rPr>
          <w:i/>
          <w:sz w:val="20"/>
          <w:szCs w:val="20"/>
        </w:rPr>
        <w:t>Child: Care, Health and Development</w:t>
      </w:r>
      <w:r w:rsidRPr="002C3089">
        <w:rPr>
          <w:sz w:val="20"/>
          <w:szCs w:val="20"/>
        </w:rPr>
        <w:t>. 38 (6): 763-777.</w:t>
      </w:r>
    </w:p>
    <w:p w:rsidR="00D543F3" w:rsidRPr="001D01C0" w:rsidRDefault="00D543F3" w:rsidP="00D543F3">
      <w:pPr>
        <w:spacing w:before="120" w:line="240" w:lineRule="auto"/>
        <w:rPr>
          <w:sz w:val="20"/>
          <w:szCs w:val="20"/>
        </w:rPr>
      </w:pPr>
      <w:r>
        <w:rPr>
          <w:sz w:val="20"/>
          <w:szCs w:val="20"/>
        </w:rPr>
        <w:t xml:space="preserve">Levitas R, Pantazis C, Fahmy E, Gordon D, Lloyd E, Patsios D. 2007. </w:t>
      </w:r>
      <w:r>
        <w:rPr>
          <w:i/>
          <w:sz w:val="20"/>
          <w:szCs w:val="20"/>
        </w:rPr>
        <w:t>The Multi-Dimensional Analysis of Social Exclusion.</w:t>
      </w:r>
      <w:r>
        <w:rPr>
          <w:sz w:val="20"/>
          <w:szCs w:val="20"/>
        </w:rPr>
        <w:t xml:space="preserve"> Bristol: University of Bristol</w:t>
      </w:r>
    </w:p>
    <w:p w:rsidR="00D543F3" w:rsidRPr="002C3089" w:rsidRDefault="00D543F3" w:rsidP="00D543F3">
      <w:pPr>
        <w:spacing w:before="120" w:line="240" w:lineRule="auto"/>
        <w:rPr>
          <w:sz w:val="20"/>
          <w:szCs w:val="20"/>
        </w:rPr>
      </w:pPr>
      <w:r w:rsidRPr="002C3089">
        <w:rPr>
          <w:sz w:val="20"/>
          <w:szCs w:val="20"/>
        </w:rPr>
        <w:t xml:space="preserve">Milner P, Bray A, Cleland G, Taylor J, Entwisle R, Wilson P. 2004. </w:t>
      </w:r>
      <w:r w:rsidRPr="002C3089">
        <w:rPr>
          <w:i/>
          <w:sz w:val="20"/>
          <w:szCs w:val="20"/>
        </w:rPr>
        <w:t>Community Participation: People with Disabilities Finding their place</w:t>
      </w:r>
      <w:r w:rsidRPr="002C3089">
        <w:rPr>
          <w:sz w:val="20"/>
          <w:szCs w:val="20"/>
        </w:rPr>
        <w:t>. Dunedin: Donald Beasley Institute and NZCCS</w:t>
      </w:r>
    </w:p>
    <w:p w:rsidR="00D543F3" w:rsidRPr="002C3089" w:rsidRDefault="00D543F3" w:rsidP="00D543F3">
      <w:pPr>
        <w:spacing w:before="120" w:line="240" w:lineRule="auto"/>
        <w:rPr>
          <w:sz w:val="20"/>
          <w:szCs w:val="20"/>
        </w:rPr>
      </w:pPr>
      <w:r w:rsidRPr="002C3089">
        <w:rPr>
          <w:sz w:val="20"/>
          <w:szCs w:val="20"/>
        </w:rPr>
        <w:t>Simpson MK 2011. Othering intellectual disability: Two models of classification from the 19</w:t>
      </w:r>
      <w:r w:rsidRPr="002C3089">
        <w:rPr>
          <w:sz w:val="20"/>
          <w:szCs w:val="20"/>
          <w:vertAlign w:val="superscript"/>
        </w:rPr>
        <w:t>th</w:t>
      </w:r>
      <w:r w:rsidRPr="002C3089">
        <w:rPr>
          <w:sz w:val="20"/>
          <w:szCs w:val="20"/>
        </w:rPr>
        <w:t xml:space="preserve"> century. </w:t>
      </w:r>
      <w:r w:rsidRPr="002C3089">
        <w:rPr>
          <w:i/>
          <w:sz w:val="20"/>
          <w:szCs w:val="20"/>
        </w:rPr>
        <w:t>Theory and Psychology</w:t>
      </w:r>
      <w:r w:rsidRPr="002C3089">
        <w:rPr>
          <w:sz w:val="20"/>
          <w:szCs w:val="20"/>
        </w:rPr>
        <w:t>. 22(5) 541-555.</w:t>
      </w:r>
    </w:p>
    <w:p w:rsidR="00D543F3" w:rsidRPr="001D01C0" w:rsidRDefault="00D543F3" w:rsidP="00D543F3">
      <w:pPr>
        <w:spacing w:before="120" w:line="240" w:lineRule="auto"/>
        <w:rPr>
          <w:sz w:val="20"/>
          <w:szCs w:val="20"/>
        </w:rPr>
      </w:pPr>
      <w:r w:rsidRPr="001D01C0">
        <w:rPr>
          <w:rFonts w:eastAsia="Calibri" w:cs="StoneSans"/>
          <w:sz w:val="20"/>
          <w:szCs w:val="20"/>
        </w:rPr>
        <w:t xml:space="preserve">Social Exclusion Unit. 2004a. </w:t>
      </w:r>
      <w:r w:rsidRPr="001D01C0">
        <w:rPr>
          <w:rFonts w:eastAsia="Calibri" w:cs="StoneSans"/>
          <w:i/>
          <w:sz w:val="20"/>
          <w:szCs w:val="20"/>
        </w:rPr>
        <w:t>Breaking the Cycle:</w:t>
      </w:r>
      <w:r w:rsidRPr="001D01C0">
        <w:rPr>
          <w:rFonts w:eastAsia="Calibri" w:cs="StoneSans-Italic"/>
          <w:i/>
          <w:iCs/>
          <w:sz w:val="20"/>
          <w:szCs w:val="20"/>
        </w:rPr>
        <w:t xml:space="preserve"> Taking stock of progress and priorities for the Future. </w:t>
      </w:r>
      <w:r w:rsidRPr="001D01C0">
        <w:rPr>
          <w:rFonts w:eastAsia="Calibri" w:cs="StoneSans"/>
          <w:sz w:val="20"/>
          <w:szCs w:val="20"/>
        </w:rPr>
        <w:t>London: Office of the Deputy Prime Minister.</w:t>
      </w:r>
    </w:p>
    <w:p w:rsidR="00D543F3" w:rsidRPr="001D01C0" w:rsidRDefault="00D543F3" w:rsidP="00D543F3">
      <w:pPr>
        <w:spacing w:before="120" w:line="240" w:lineRule="auto"/>
        <w:rPr>
          <w:rFonts w:eastAsia="Calibri" w:cs="StoneSans"/>
          <w:sz w:val="20"/>
          <w:szCs w:val="20"/>
        </w:rPr>
      </w:pPr>
      <w:r w:rsidRPr="001D01C0">
        <w:rPr>
          <w:rFonts w:eastAsia="Calibri" w:cs="StoneSans"/>
          <w:sz w:val="20"/>
          <w:szCs w:val="20"/>
        </w:rPr>
        <w:t xml:space="preserve">Social Exclusion Unit. 2004b. </w:t>
      </w:r>
      <w:r>
        <w:rPr>
          <w:rFonts w:eastAsia="Calibri" w:cs="StoneSans"/>
          <w:i/>
          <w:sz w:val="20"/>
          <w:szCs w:val="20"/>
        </w:rPr>
        <w:t>Mental Health and Social Exclusion</w:t>
      </w:r>
      <w:r w:rsidRPr="001D01C0">
        <w:rPr>
          <w:rFonts w:eastAsia="Calibri" w:cs="StoneSans-Italic"/>
          <w:i/>
          <w:iCs/>
          <w:sz w:val="20"/>
          <w:szCs w:val="20"/>
        </w:rPr>
        <w:t xml:space="preserve">. </w:t>
      </w:r>
      <w:r w:rsidRPr="001D01C0">
        <w:rPr>
          <w:rFonts w:eastAsia="Calibri" w:cs="StoneSans"/>
          <w:sz w:val="20"/>
          <w:szCs w:val="20"/>
        </w:rPr>
        <w:t>London: Office of the Deputy Prime Minister.</w:t>
      </w:r>
    </w:p>
    <w:p w:rsidR="00D543F3" w:rsidRPr="001D01C0" w:rsidRDefault="00D543F3" w:rsidP="00D543F3">
      <w:pPr>
        <w:spacing w:before="120" w:line="240" w:lineRule="auto"/>
        <w:rPr>
          <w:sz w:val="20"/>
          <w:szCs w:val="20"/>
        </w:rPr>
      </w:pPr>
      <w:r w:rsidRPr="001D01C0">
        <w:rPr>
          <w:sz w:val="20"/>
          <w:szCs w:val="20"/>
        </w:rPr>
        <w:t xml:space="preserve">Stewart F, Langer A. 2007. </w:t>
      </w:r>
      <w:r w:rsidRPr="001D01C0">
        <w:rPr>
          <w:i/>
          <w:sz w:val="20"/>
          <w:szCs w:val="20"/>
        </w:rPr>
        <w:t>Horizontal Inequalities: Explaining Persistence and Change</w:t>
      </w:r>
      <w:r w:rsidRPr="001D01C0">
        <w:rPr>
          <w:sz w:val="20"/>
          <w:szCs w:val="20"/>
        </w:rPr>
        <w:t>. London: Centre for Research on Inequality, Human Security and Ethnicity.</w:t>
      </w:r>
    </w:p>
    <w:p w:rsidR="00D543F3" w:rsidRPr="002C3089" w:rsidRDefault="00D543F3" w:rsidP="00D543F3">
      <w:pPr>
        <w:spacing w:before="120" w:line="240" w:lineRule="auto"/>
        <w:rPr>
          <w:sz w:val="20"/>
          <w:szCs w:val="20"/>
        </w:rPr>
      </w:pPr>
      <w:r w:rsidRPr="002C3089">
        <w:rPr>
          <w:sz w:val="20"/>
          <w:szCs w:val="20"/>
        </w:rPr>
        <w:t xml:space="preserve">Wolfensberger W. 2000. A brief overview of social role valorization. </w:t>
      </w:r>
      <w:r w:rsidRPr="002C3089">
        <w:rPr>
          <w:i/>
          <w:sz w:val="20"/>
          <w:szCs w:val="20"/>
        </w:rPr>
        <w:t>Mental Retardation</w:t>
      </w:r>
      <w:r w:rsidRPr="002C3089">
        <w:rPr>
          <w:sz w:val="20"/>
          <w:szCs w:val="20"/>
        </w:rPr>
        <w:t>. 38:105-123.</w:t>
      </w:r>
    </w:p>
    <w:p w:rsidR="00D543F3" w:rsidRPr="002C3089" w:rsidRDefault="00D543F3" w:rsidP="00D543F3">
      <w:pPr>
        <w:spacing w:before="120" w:line="240" w:lineRule="auto"/>
        <w:rPr>
          <w:sz w:val="20"/>
          <w:szCs w:val="20"/>
        </w:rPr>
      </w:pPr>
      <w:r w:rsidRPr="002C3089">
        <w:rPr>
          <w:sz w:val="20"/>
          <w:szCs w:val="20"/>
        </w:rPr>
        <w:t xml:space="preserve">World Health Organization. 2011. </w:t>
      </w:r>
      <w:r w:rsidRPr="002C3089">
        <w:rPr>
          <w:i/>
          <w:sz w:val="20"/>
          <w:szCs w:val="20"/>
        </w:rPr>
        <w:t>World Report on Disability</w:t>
      </w:r>
      <w:r w:rsidRPr="002C3089">
        <w:rPr>
          <w:sz w:val="20"/>
          <w:szCs w:val="20"/>
        </w:rPr>
        <w:t>. Geneva: WHO</w:t>
      </w:r>
    </w:p>
    <w:sectPr w:rsidR="00D543F3" w:rsidRPr="002C3089" w:rsidSect="00E85970">
      <w:headerReference w:type="first" r:id="rId23"/>
      <w:pgSz w:w="11906" w:h="16838"/>
      <w:pgMar w:top="1985" w:right="1588" w:bottom="1588" w:left="2155"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8E8" w:rsidRDefault="00F308E8">
      <w:pPr>
        <w:spacing w:after="0" w:line="240" w:lineRule="auto"/>
      </w:pPr>
      <w:r>
        <w:separator/>
      </w:r>
    </w:p>
  </w:endnote>
  <w:endnote w:type="continuationSeparator" w:id="0">
    <w:p w:rsidR="00F308E8" w:rsidRDefault="00F3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panose1 w:val="00000000000000000000"/>
    <w:charset w:val="00"/>
    <w:family w:val="swiss"/>
    <w:notTrueType/>
    <w:pitch w:val="default"/>
    <w:sig w:usb0="00000003" w:usb1="00000000" w:usb2="00000000" w:usb3="00000000" w:csb0="00000001" w:csb1="00000000"/>
  </w:font>
  <w:font w:name="Stone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9D" w:rsidRPr="006C4F1F" w:rsidRDefault="009C5032" w:rsidP="006C4F1F">
    <w:pPr>
      <w:pStyle w:val="Footer"/>
      <w:jc w:val="center"/>
      <w:rPr>
        <w:sz w:val="21"/>
        <w:szCs w:val="21"/>
      </w:rPr>
    </w:pPr>
    <w:r w:rsidRPr="006C4F1F">
      <w:rPr>
        <w:sz w:val="21"/>
        <w:szCs w:val="21"/>
      </w:rPr>
      <w:t xml:space="preserve">Page | </w:t>
    </w:r>
    <w:r w:rsidR="00F31D72">
      <w:fldChar w:fldCharType="begin"/>
    </w:r>
    <w:r w:rsidR="00F31D72">
      <w:instrText xml:space="preserve"> PAGE   \* MERGEFORMAT </w:instrText>
    </w:r>
    <w:r w:rsidR="00F31D72">
      <w:fldChar w:fldCharType="separate"/>
    </w:r>
    <w:r w:rsidR="00BD28FD" w:rsidRPr="00BD28FD">
      <w:rPr>
        <w:noProof/>
        <w:sz w:val="21"/>
        <w:szCs w:val="21"/>
      </w:rPr>
      <w:t>10</w:t>
    </w:r>
    <w:r w:rsidR="00F31D72">
      <w:rPr>
        <w:noProof/>
        <w:sz w:val="21"/>
        <w:szCs w:val="21"/>
      </w:rPr>
      <w:fldChar w:fldCharType="end"/>
    </w:r>
  </w:p>
  <w:p w:rsidR="002D519D" w:rsidRDefault="00BD28FD" w:rsidP="006C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8E8" w:rsidRDefault="00F308E8">
      <w:pPr>
        <w:spacing w:after="0" w:line="240" w:lineRule="auto"/>
      </w:pPr>
      <w:r>
        <w:separator/>
      </w:r>
    </w:p>
  </w:footnote>
  <w:footnote w:type="continuationSeparator" w:id="0">
    <w:p w:rsidR="00F308E8" w:rsidRDefault="00F30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9D" w:rsidRDefault="009C5032">
    <w:pPr>
      <w:pStyle w:val="Header"/>
    </w:pPr>
    <w:r>
      <w:rPr>
        <w:noProof/>
      </w:rPr>
      <w:drawing>
        <wp:anchor distT="0" distB="0" distL="114300" distR="114300" simplePos="0" relativeHeight="251659264" behindDoc="1" locked="0" layoutInCell="1" allowOverlap="1" wp14:anchorId="2C110D26" wp14:editId="25323EA7">
          <wp:simplePos x="0" y="0"/>
          <wp:positionH relativeFrom="page">
            <wp:posOffset>-2284994</wp:posOffset>
          </wp:positionH>
          <wp:positionV relativeFrom="page">
            <wp:posOffset>705938</wp:posOffset>
          </wp:positionV>
          <wp:extent cx="1885950" cy="7515225"/>
          <wp:effectExtent l="0" t="0" r="0" b="9525"/>
          <wp:wrapNone/>
          <wp:docPr id="1" name="Picture 1" descr="Draft-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Title"/>
                  <pic:cNvPicPr>
                    <a:picLocks noChangeAspect="1" noChangeArrowheads="1"/>
                  </pic:cNvPicPr>
                </pic:nvPicPr>
                <pic:blipFill>
                  <a:blip r:embed="rId1"/>
                  <a:srcRect/>
                  <a:stretch>
                    <a:fillRect/>
                  </a:stretch>
                </pic:blipFill>
                <pic:spPr bwMode="auto">
                  <a:xfrm>
                    <a:off x="0" y="0"/>
                    <a:ext cx="1885950" cy="75152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970" w:rsidRDefault="00E85970" w:rsidP="00D06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9D" w:rsidRDefault="00BD28FD" w:rsidP="006C4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65870E6"/>
    <w:lvl w:ilvl="0">
      <w:start w:val="1"/>
      <w:numFmt w:val="bullet"/>
      <w:pStyle w:val="Heading9"/>
      <w:lvlText w:val="o"/>
      <w:lvlJc w:val="left"/>
      <w:pPr>
        <w:tabs>
          <w:tab w:val="num" w:pos="900"/>
        </w:tabs>
        <w:ind w:left="900" w:hanging="360"/>
      </w:pPr>
      <w:rPr>
        <w:rFonts w:ascii="Courier New" w:hAnsi="Courier New" w:hint="default"/>
      </w:rPr>
    </w:lvl>
  </w:abstractNum>
  <w:abstractNum w:abstractNumId="1">
    <w:nsid w:val="26F1166E"/>
    <w:multiLevelType w:val="hybridMultilevel"/>
    <w:tmpl w:val="7DB64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92E0D3D"/>
    <w:multiLevelType w:val="hybridMultilevel"/>
    <w:tmpl w:val="54280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17A4A44"/>
    <w:multiLevelType w:val="hybridMultilevel"/>
    <w:tmpl w:val="917CD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1ED12D5"/>
    <w:multiLevelType w:val="hybridMultilevel"/>
    <w:tmpl w:val="7850F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E6025DA"/>
    <w:multiLevelType w:val="hybridMultilevel"/>
    <w:tmpl w:val="78B07786"/>
    <w:lvl w:ilvl="0" w:tplc="14090001">
      <w:start w:val="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5171FA1"/>
    <w:multiLevelType w:val="hybridMultilevel"/>
    <w:tmpl w:val="48EC13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76F51F3"/>
    <w:multiLevelType w:val="multilevel"/>
    <w:tmpl w:val="61BCF930"/>
    <w:lvl w:ilvl="0">
      <w:start w:val="1"/>
      <w:numFmt w:val="decimal"/>
      <w:pStyle w:val="Heading1"/>
      <w:lvlText w:val="%1."/>
      <w:lvlJc w:val="left"/>
      <w:pPr>
        <w:tabs>
          <w:tab w:val="num" w:pos="510"/>
        </w:tabs>
        <w:ind w:left="510" w:hanging="510"/>
      </w:pPr>
      <w:rPr>
        <w:rFonts w:asciiTheme="minorHAnsi" w:hAnsiTheme="minorHAnsi" w:cs="Times New Roman" w:hint="default"/>
        <w:b/>
        <w:bCs w:val="0"/>
        <w:i w:val="0"/>
        <w:iCs w:val="0"/>
        <w:caps w:val="0"/>
        <w:smallCaps w:val="0"/>
        <w:strike w:val="0"/>
        <w:dstrike w:val="0"/>
        <w:snapToGrid w:val="0"/>
        <w:vanish w:val="0"/>
        <w:color w:val="006E95"/>
        <w:spacing w:val="0"/>
        <w:w w:val="0"/>
        <w:kern w:val="0"/>
        <w:position w:val="0"/>
        <w:sz w:val="28"/>
        <w:szCs w:val="24"/>
        <w:u w:val="none"/>
        <w:vertAlign w:val="baseline"/>
      </w:rPr>
    </w:lvl>
    <w:lvl w:ilvl="1">
      <w:start w:val="1"/>
      <w:numFmt w:val="decimal"/>
      <w:pStyle w:val="Heading2"/>
      <w:lvlText w:val="%1.%2"/>
      <w:lvlJc w:val="left"/>
      <w:pPr>
        <w:tabs>
          <w:tab w:val="num" w:pos="652"/>
        </w:tabs>
        <w:ind w:left="652" w:hanging="510"/>
      </w:pPr>
      <w:rPr>
        <w:rFonts w:asciiTheme="minorHAnsi" w:hAnsiTheme="minorHAnsi" w:cs="Times New Roman" w:hint="default"/>
        <w:b/>
        <w:i w:val="0"/>
        <w:color w:val="006E95"/>
        <w:sz w:val="22"/>
        <w:szCs w:val="18"/>
      </w:rPr>
    </w:lvl>
    <w:lvl w:ilvl="2">
      <w:start w:val="1"/>
      <w:numFmt w:val="decimal"/>
      <w:pStyle w:val="Heading3"/>
      <w:lvlText w:val="%1.%2.%3"/>
      <w:lvlJc w:val="left"/>
      <w:pPr>
        <w:tabs>
          <w:tab w:val="num" w:pos="510"/>
        </w:tabs>
        <w:ind w:left="510" w:hanging="510"/>
      </w:pPr>
      <w:rPr>
        <w:rFonts w:asciiTheme="minorHAnsi" w:hAnsiTheme="minorHAnsi" w:cs="Times New Roman" w:hint="default"/>
        <w:b w:val="0"/>
        <w:bCs w:val="0"/>
        <w:i w:val="0"/>
        <w:iCs w:val="0"/>
        <w:caps w:val="0"/>
        <w:smallCaps w:val="0"/>
        <w:strike w:val="0"/>
        <w:dstrike w:val="0"/>
        <w:snapToGrid w:val="0"/>
        <w:vanish w:val="0"/>
        <w:color w:val="595959"/>
        <w:spacing w:val="0"/>
        <w:w w:val="0"/>
        <w:kern w:val="0"/>
        <w:position w:val="0"/>
        <w:sz w:val="22"/>
        <w:szCs w:val="18"/>
        <w:u w:val="none"/>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6B3115B2"/>
    <w:multiLevelType w:val="hybridMultilevel"/>
    <w:tmpl w:val="FEB04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6C8E403C"/>
    <w:multiLevelType w:val="hybridMultilevel"/>
    <w:tmpl w:val="FD740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F4B6D3E"/>
    <w:multiLevelType w:val="hybridMultilevel"/>
    <w:tmpl w:val="4830A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6FFE3F4E"/>
    <w:multiLevelType w:val="hybridMultilevel"/>
    <w:tmpl w:val="A456E2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9"/>
  </w:num>
  <w:num w:numId="6">
    <w:abstractNumId w:val="10"/>
  </w:num>
  <w:num w:numId="7">
    <w:abstractNumId w:val="4"/>
  </w:num>
  <w:num w:numId="8">
    <w:abstractNumId w:val="11"/>
  </w:num>
  <w:num w:numId="9">
    <w:abstractNumId w:val="3"/>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32"/>
    <w:rsid w:val="00010412"/>
    <w:rsid w:val="00085601"/>
    <w:rsid w:val="00352F27"/>
    <w:rsid w:val="00505C58"/>
    <w:rsid w:val="006805D3"/>
    <w:rsid w:val="009C5032"/>
    <w:rsid w:val="00A434CE"/>
    <w:rsid w:val="00AB5815"/>
    <w:rsid w:val="00BD28FD"/>
    <w:rsid w:val="00C03F77"/>
    <w:rsid w:val="00D543F3"/>
    <w:rsid w:val="00E274D5"/>
    <w:rsid w:val="00E85970"/>
    <w:rsid w:val="00F308E8"/>
    <w:rsid w:val="00F31D7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32"/>
    <w:pPr>
      <w:spacing w:after="120" w:line="360" w:lineRule="auto"/>
    </w:pPr>
    <w:rPr>
      <w:rFonts w:eastAsia="Times New Roman" w:cs="Times New Roman"/>
      <w:szCs w:val="18"/>
      <w:lang w:eastAsia="en-NZ"/>
    </w:rPr>
  </w:style>
  <w:style w:type="paragraph" w:styleId="Heading1">
    <w:name w:val="heading 1"/>
    <w:basedOn w:val="Normal"/>
    <w:next w:val="Normal"/>
    <w:link w:val="Heading1Char"/>
    <w:uiPriority w:val="9"/>
    <w:qFormat/>
    <w:rsid w:val="00E85970"/>
    <w:pPr>
      <w:keepNext/>
      <w:numPr>
        <w:numId w:val="1"/>
      </w:numPr>
      <w:spacing w:after="400" w:line="360" w:lineRule="exact"/>
      <w:outlineLvl w:val="0"/>
    </w:pPr>
    <w:rPr>
      <w:rFonts w:cs="Arial"/>
      <w:b/>
      <w:noProof/>
      <w:color w:val="006E95"/>
      <w:spacing w:val="20"/>
      <w:kern w:val="28"/>
      <w:sz w:val="32"/>
      <w:szCs w:val="28"/>
    </w:rPr>
  </w:style>
  <w:style w:type="paragraph" w:styleId="Heading2">
    <w:name w:val="heading 2"/>
    <w:basedOn w:val="Normal"/>
    <w:next w:val="Normal"/>
    <w:link w:val="Heading2Char"/>
    <w:uiPriority w:val="9"/>
    <w:qFormat/>
    <w:rsid w:val="00E85970"/>
    <w:pPr>
      <w:keepNext/>
      <w:numPr>
        <w:ilvl w:val="1"/>
        <w:numId w:val="1"/>
      </w:numPr>
      <w:tabs>
        <w:tab w:val="clear" w:pos="652"/>
        <w:tab w:val="num" w:pos="510"/>
      </w:tabs>
      <w:spacing w:before="360" w:after="180" w:line="300" w:lineRule="exact"/>
      <w:ind w:left="510"/>
      <w:outlineLvl w:val="1"/>
    </w:pPr>
    <w:rPr>
      <w:rFonts w:eastAsia="Calibri" w:cs="Arial"/>
      <w:b/>
      <w:color w:val="006E95"/>
      <w:spacing w:val="20"/>
      <w:sz w:val="26"/>
      <w:szCs w:val="22"/>
    </w:rPr>
  </w:style>
  <w:style w:type="paragraph" w:styleId="Heading3">
    <w:name w:val="heading 3"/>
    <w:basedOn w:val="Normal"/>
    <w:next w:val="Normal"/>
    <w:link w:val="Heading3Char"/>
    <w:uiPriority w:val="9"/>
    <w:qFormat/>
    <w:rsid w:val="009C5032"/>
    <w:pPr>
      <w:keepNext/>
      <w:numPr>
        <w:ilvl w:val="2"/>
        <w:numId w:val="1"/>
      </w:numPr>
      <w:pBdr>
        <w:top w:val="single" w:sz="4" w:space="0" w:color="D8D9DA"/>
        <w:bottom w:val="single" w:sz="4" w:space="1" w:color="D8D9DA"/>
      </w:pBdr>
      <w:spacing w:before="200" w:after="80" w:line="260" w:lineRule="exact"/>
      <w:outlineLvl w:val="2"/>
    </w:pPr>
    <w:rPr>
      <w:rFonts w:cs="Arial"/>
      <w:color w:val="5F5F5F"/>
      <w:sz w:val="24"/>
      <w:szCs w:val="21"/>
    </w:rPr>
  </w:style>
  <w:style w:type="paragraph" w:styleId="Heading9">
    <w:name w:val="heading 9"/>
    <w:basedOn w:val="Normal"/>
    <w:next w:val="Normal"/>
    <w:link w:val="Heading9Char"/>
    <w:uiPriority w:val="99"/>
    <w:qFormat/>
    <w:rsid w:val="00E85970"/>
    <w:pPr>
      <w:numPr>
        <w:numId w:val="12"/>
      </w:numPr>
      <w:tabs>
        <w:tab w:val="clear" w:pos="900"/>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70"/>
    <w:rPr>
      <w:rFonts w:eastAsia="Times New Roman" w:cs="Arial"/>
      <w:b/>
      <w:noProof/>
      <w:color w:val="006E95"/>
      <w:spacing w:val="20"/>
      <w:kern w:val="28"/>
      <w:sz w:val="32"/>
      <w:szCs w:val="28"/>
      <w:lang w:eastAsia="en-NZ"/>
    </w:rPr>
  </w:style>
  <w:style w:type="character" w:customStyle="1" w:styleId="Heading2Char">
    <w:name w:val="Heading 2 Char"/>
    <w:basedOn w:val="DefaultParagraphFont"/>
    <w:link w:val="Heading2"/>
    <w:uiPriority w:val="9"/>
    <w:rsid w:val="00E85970"/>
    <w:rPr>
      <w:rFonts w:eastAsia="Calibri" w:cs="Arial"/>
      <w:b/>
      <w:color w:val="006E95"/>
      <w:spacing w:val="20"/>
      <w:sz w:val="26"/>
      <w:lang w:eastAsia="en-NZ"/>
    </w:rPr>
  </w:style>
  <w:style w:type="character" w:customStyle="1" w:styleId="Heading3Char">
    <w:name w:val="Heading 3 Char"/>
    <w:basedOn w:val="DefaultParagraphFont"/>
    <w:link w:val="Heading3"/>
    <w:uiPriority w:val="9"/>
    <w:rsid w:val="009C5032"/>
    <w:rPr>
      <w:rFonts w:eastAsia="Times New Roman" w:cs="Arial"/>
      <w:color w:val="5F5F5F"/>
      <w:sz w:val="24"/>
      <w:szCs w:val="21"/>
      <w:lang w:eastAsia="en-NZ"/>
    </w:rPr>
  </w:style>
  <w:style w:type="paragraph" w:styleId="ListParagraph">
    <w:name w:val="List Paragraph"/>
    <w:basedOn w:val="Normal"/>
    <w:link w:val="ListParagraphChar"/>
    <w:uiPriority w:val="34"/>
    <w:qFormat/>
    <w:rsid w:val="009C5032"/>
    <w:pPr>
      <w:contextualSpacing/>
    </w:pPr>
  </w:style>
  <w:style w:type="paragraph" w:styleId="TOCHeading">
    <w:name w:val="TOC Heading"/>
    <w:basedOn w:val="Heading1"/>
    <w:next w:val="Normal"/>
    <w:uiPriority w:val="99"/>
    <w:qFormat/>
    <w:rsid w:val="009C5032"/>
    <w:pPr>
      <w:keepLines/>
      <w:numPr>
        <w:numId w:val="0"/>
      </w:numPr>
      <w:spacing w:before="480" w:after="0" w:line="276" w:lineRule="auto"/>
      <w:outlineLvl w:val="9"/>
    </w:pPr>
    <w:rPr>
      <w:rFonts w:ascii="Calibri" w:hAnsi="Calibri" w:cs="Calibri"/>
      <w:b w:val="0"/>
      <w:bCs/>
      <w:spacing w:val="0"/>
      <w:kern w:val="0"/>
      <w:lang w:val="en-US" w:eastAsia="en-US"/>
    </w:rPr>
  </w:style>
  <w:style w:type="paragraph" w:styleId="TOC1">
    <w:name w:val="toc 1"/>
    <w:basedOn w:val="Normal"/>
    <w:next w:val="Normal"/>
    <w:autoRedefine/>
    <w:uiPriority w:val="39"/>
    <w:rsid w:val="009C5032"/>
    <w:pPr>
      <w:spacing w:before="120"/>
    </w:pPr>
    <w:rPr>
      <w:rFonts w:cs="Calibri"/>
      <w:b/>
      <w:bCs/>
      <w:caps/>
      <w:szCs w:val="20"/>
    </w:rPr>
  </w:style>
  <w:style w:type="paragraph" w:styleId="TOC2">
    <w:name w:val="toc 2"/>
    <w:basedOn w:val="Normal"/>
    <w:next w:val="Normal"/>
    <w:autoRedefine/>
    <w:uiPriority w:val="39"/>
    <w:rsid w:val="009C5032"/>
    <w:pPr>
      <w:spacing w:after="0"/>
      <w:ind w:left="180"/>
    </w:pPr>
    <w:rPr>
      <w:rFonts w:cs="Calibri"/>
      <w:smallCaps/>
      <w:szCs w:val="20"/>
    </w:rPr>
  </w:style>
  <w:style w:type="character" w:styleId="Hyperlink">
    <w:name w:val="Hyperlink"/>
    <w:basedOn w:val="DefaultParagraphFont"/>
    <w:uiPriority w:val="99"/>
    <w:rsid w:val="009C5032"/>
    <w:rPr>
      <w:rFonts w:cs="Times New Roman"/>
      <w:color w:val="0000FF"/>
      <w:u w:val="single"/>
    </w:rPr>
  </w:style>
  <w:style w:type="paragraph" w:styleId="Header">
    <w:name w:val="header"/>
    <w:basedOn w:val="Normal"/>
    <w:link w:val="HeaderChar"/>
    <w:uiPriority w:val="99"/>
    <w:rsid w:val="009C5032"/>
    <w:pPr>
      <w:tabs>
        <w:tab w:val="center" w:pos="4513"/>
        <w:tab w:val="right" w:pos="9026"/>
      </w:tabs>
    </w:pPr>
  </w:style>
  <w:style w:type="character" w:customStyle="1" w:styleId="HeaderChar">
    <w:name w:val="Header Char"/>
    <w:basedOn w:val="DefaultParagraphFont"/>
    <w:link w:val="Header"/>
    <w:uiPriority w:val="99"/>
    <w:rsid w:val="009C5032"/>
    <w:rPr>
      <w:rFonts w:eastAsia="Times New Roman" w:cs="Times New Roman"/>
      <w:szCs w:val="18"/>
      <w:lang w:eastAsia="en-NZ"/>
    </w:rPr>
  </w:style>
  <w:style w:type="paragraph" w:styleId="Footer">
    <w:name w:val="footer"/>
    <w:basedOn w:val="Normal"/>
    <w:link w:val="FooterChar"/>
    <w:uiPriority w:val="99"/>
    <w:rsid w:val="009C5032"/>
    <w:pPr>
      <w:tabs>
        <w:tab w:val="center" w:pos="4513"/>
        <w:tab w:val="right" w:pos="9026"/>
      </w:tabs>
    </w:pPr>
  </w:style>
  <w:style w:type="character" w:customStyle="1" w:styleId="FooterChar">
    <w:name w:val="Footer Char"/>
    <w:basedOn w:val="DefaultParagraphFont"/>
    <w:link w:val="Footer"/>
    <w:uiPriority w:val="99"/>
    <w:rsid w:val="009C5032"/>
    <w:rPr>
      <w:rFonts w:eastAsia="Times New Roman" w:cs="Times New Roman"/>
      <w:szCs w:val="18"/>
      <w:lang w:eastAsia="en-NZ"/>
    </w:rPr>
  </w:style>
  <w:style w:type="character" w:customStyle="1" w:styleId="ListParagraphChar">
    <w:name w:val="List Paragraph Char"/>
    <w:basedOn w:val="DefaultParagraphFont"/>
    <w:link w:val="ListParagraph"/>
    <w:uiPriority w:val="34"/>
    <w:rsid w:val="009C5032"/>
    <w:rPr>
      <w:rFonts w:eastAsia="Times New Roman" w:cs="Times New Roman"/>
      <w:szCs w:val="18"/>
      <w:lang w:eastAsia="en-NZ"/>
    </w:rPr>
  </w:style>
  <w:style w:type="paragraph" w:styleId="BalloonText">
    <w:name w:val="Balloon Text"/>
    <w:basedOn w:val="Normal"/>
    <w:link w:val="BalloonTextChar"/>
    <w:uiPriority w:val="99"/>
    <w:semiHidden/>
    <w:unhideWhenUsed/>
    <w:rsid w:val="009C5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32"/>
    <w:rPr>
      <w:rFonts w:ascii="Tahoma" w:eastAsia="Times New Roman" w:hAnsi="Tahoma" w:cs="Tahoma"/>
      <w:sz w:val="16"/>
      <w:szCs w:val="16"/>
      <w:lang w:eastAsia="en-NZ"/>
    </w:rPr>
  </w:style>
  <w:style w:type="character" w:customStyle="1" w:styleId="Heading9Char">
    <w:name w:val="Heading 9 Char"/>
    <w:basedOn w:val="DefaultParagraphFont"/>
    <w:link w:val="Heading9"/>
    <w:uiPriority w:val="99"/>
    <w:rsid w:val="00E85970"/>
    <w:rPr>
      <w:rFonts w:ascii="Arial" w:eastAsia="Times New Roman" w:hAnsi="Arial" w:cs="Arial"/>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32"/>
    <w:pPr>
      <w:spacing w:after="120" w:line="360" w:lineRule="auto"/>
    </w:pPr>
    <w:rPr>
      <w:rFonts w:eastAsia="Times New Roman" w:cs="Times New Roman"/>
      <w:szCs w:val="18"/>
      <w:lang w:eastAsia="en-NZ"/>
    </w:rPr>
  </w:style>
  <w:style w:type="paragraph" w:styleId="Heading1">
    <w:name w:val="heading 1"/>
    <w:basedOn w:val="Normal"/>
    <w:next w:val="Normal"/>
    <w:link w:val="Heading1Char"/>
    <w:uiPriority w:val="9"/>
    <w:qFormat/>
    <w:rsid w:val="00E85970"/>
    <w:pPr>
      <w:keepNext/>
      <w:numPr>
        <w:numId w:val="1"/>
      </w:numPr>
      <w:spacing w:after="400" w:line="360" w:lineRule="exact"/>
      <w:outlineLvl w:val="0"/>
    </w:pPr>
    <w:rPr>
      <w:rFonts w:cs="Arial"/>
      <w:b/>
      <w:noProof/>
      <w:color w:val="006E95"/>
      <w:spacing w:val="20"/>
      <w:kern w:val="28"/>
      <w:sz w:val="32"/>
      <w:szCs w:val="28"/>
    </w:rPr>
  </w:style>
  <w:style w:type="paragraph" w:styleId="Heading2">
    <w:name w:val="heading 2"/>
    <w:basedOn w:val="Normal"/>
    <w:next w:val="Normal"/>
    <w:link w:val="Heading2Char"/>
    <w:uiPriority w:val="9"/>
    <w:qFormat/>
    <w:rsid w:val="00E85970"/>
    <w:pPr>
      <w:keepNext/>
      <w:numPr>
        <w:ilvl w:val="1"/>
        <w:numId w:val="1"/>
      </w:numPr>
      <w:tabs>
        <w:tab w:val="clear" w:pos="652"/>
        <w:tab w:val="num" w:pos="510"/>
      </w:tabs>
      <w:spacing w:before="360" w:after="180" w:line="300" w:lineRule="exact"/>
      <w:ind w:left="510"/>
      <w:outlineLvl w:val="1"/>
    </w:pPr>
    <w:rPr>
      <w:rFonts w:eastAsia="Calibri" w:cs="Arial"/>
      <w:b/>
      <w:color w:val="006E95"/>
      <w:spacing w:val="20"/>
      <w:sz w:val="26"/>
      <w:szCs w:val="22"/>
    </w:rPr>
  </w:style>
  <w:style w:type="paragraph" w:styleId="Heading3">
    <w:name w:val="heading 3"/>
    <w:basedOn w:val="Normal"/>
    <w:next w:val="Normal"/>
    <w:link w:val="Heading3Char"/>
    <w:uiPriority w:val="9"/>
    <w:qFormat/>
    <w:rsid w:val="009C5032"/>
    <w:pPr>
      <w:keepNext/>
      <w:numPr>
        <w:ilvl w:val="2"/>
        <w:numId w:val="1"/>
      </w:numPr>
      <w:pBdr>
        <w:top w:val="single" w:sz="4" w:space="0" w:color="D8D9DA"/>
        <w:bottom w:val="single" w:sz="4" w:space="1" w:color="D8D9DA"/>
      </w:pBdr>
      <w:spacing w:before="200" w:after="80" w:line="260" w:lineRule="exact"/>
      <w:outlineLvl w:val="2"/>
    </w:pPr>
    <w:rPr>
      <w:rFonts w:cs="Arial"/>
      <w:color w:val="5F5F5F"/>
      <w:sz w:val="24"/>
      <w:szCs w:val="21"/>
    </w:rPr>
  </w:style>
  <w:style w:type="paragraph" w:styleId="Heading9">
    <w:name w:val="heading 9"/>
    <w:basedOn w:val="Normal"/>
    <w:next w:val="Normal"/>
    <w:link w:val="Heading9Char"/>
    <w:uiPriority w:val="99"/>
    <w:qFormat/>
    <w:rsid w:val="00E85970"/>
    <w:pPr>
      <w:numPr>
        <w:numId w:val="12"/>
      </w:numPr>
      <w:tabs>
        <w:tab w:val="clear" w:pos="900"/>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70"/>
    <w:rPr>
      <w:rFonts w:eastAsia="Times New Roman" w:cs="Arial"/>
      <w:b/>
      <w:noProof/>
      <w:color w:val="006E95"/>
      <w:spacing w:val="20"/>
      <w:kern w:val="28"/>
      <w:sz w:val="32"/>
      <w:szCs w:val="28"/>
      <w:lang w:eastAsia="en-NZ"/>
    </w:rPr>
  </w:style>
  <w:style w:type="character" w:customStyle="1" w:styleId="Heading2Char">
    <w:name w:val="Heading 2 Char"/>
    <w:basedOn w:val="DefaultParagraphFont"/>
    <w:link w:val="Heading2"/>
    <w:uiPriority w:val="9"/>
    <w:rsid w:val="00E85970"/>
    <w:rPr>
      <w:rFonts w:eastAsia="Calibri" w:cs="Arial"/>
      <w:b/>
      <w:color w:val="006E95"/>
      <w:spacing w:val="20"/>
      <w:sz w:val="26"/>
      <w:lang w:eastAsia="en-NZ"/>
    </w:rPr>
  </w:style>
  <w:style w:type="character" w:customStyle="1" w:styleId="Heading3Char">
    <w:name w:val="Heading 3 Char"/>
    <w:basedOn w:val="DefaultParagraphFont"/>
    <w:link w:val="Heading3"/>
    <w:uiPriority w:val="9"/>
    <w:rsid w:val="009C5032"/>
    <w:rPr>
      <w:rFonts w:eastAsia="Times New Roman" w:cs="Arial"/>
      <w:color w:val="5F5F5F"/>
      <w:sz w:val="24"/>
      <w:szCs w:val="21"/>
      <w:lang w:eastAsia="en-NZ"/>
    </w:rPr>
  </w:style>
  <w:style w:type="paragraph" w:styleId="ListParagraph">
    <w:name w:val="List Paragraph"/>
    <w:basedOn w:val="Normal"/>
    <w:link w:val="ListParagraphChar"/>
    <w:uiPriority w:val="34"/>
    <w:qFormat/>
    <w:rsid w:val="009C5032"/>
    <w:pPr>
      <w:contextualSpacing/>
    </w:pPr>
  </w:style>
  <w:style w:type="paragraph" w:styleId="TOCHeading">
    <w:name w:val="TOC Heading"/>
    <w:basedOn w:val="Heading1"/>
    <w:next w:val="Normal"/>
    <w:uiPriority w:val="99"/>
    <w:qFormat/>
    <w:rsid w:val="009C5032"/>
    <w:pPr>
      <w:keepLines/>
      <w:numPr>
        <w:numId w:val="0"/>
      </w:numPr>
      <w:spacing w:before="480" w:after="0" w:line="276" w:lineRule="auto"/>
      <w:outlineLvl w:val="9"/>
    </w:pPr>
    <w:rPr>
      <w:rFonts w:ascii="Calibri" w:hAnsi="Calibri" w:cs="Calibri"/>
      <w:b w:val="0"/>
      <w:bCs/>
      <w:spacing w:val="0"/>
      <w:kern w:val="0"/>
      <w:lang w:val="en-US" w:eastAsia="en-US"/>
    </w:rPr>
  </w:style>
  <w:style w:type="paragraph" w:styleId="TOC1">
    <w:name w:val="toc 1"/>
    <w:basedOn w:val="Normal"/>
    <w:next w:val="Normal"/>
    <w:autoRedefine/>
    <w:uiPriority w:val="39"/>
    <w:rsid w:val="009C5032"/>
    <w:pPr>
      <w:spacing w:before="120"/>
    </w:pPr>
    <w:rPr>
      <w:rFonts w:cs="Calibri"/>
      <w:b/>
      <w:bCs/>
      <w:caps/>
      <w:szCs w:val="20"/>
    </w:rPr>
  </w:style>
  <w:style w:type="paragraph" w:styleId="TOC2">
    <w:name w:val="toc 2"/>
    <w:basedOn w:val="Normal"/>
    <w:next w:val="Normal"/>
    <w:autoRedefine/>
    <w:uiPriority w:val="39"/>
    <w:rsid w:val="009C5032"/>
    <w:pPr>
      <w:spacing w:after="0"/>
      <w:ind w:left="180"/>
    </w:pPr>
    <w:rPr>
      <w:rFonts w:cs="Calibri"/>
      <w:smallCaps/>
      <w:szCs w:val="20"/>
    </w:rPr>
  </w:style>
  <w:style w:type="character" w:styleId="Hyperlink">
    <w:name w:val="Hyperlink"/>
    <w:basedOn w:val="DefaultParagraphFont"/>
    <w:uiPriority w:val="99"/>
    <w:rsid w:val="009C5032"/>
    <w:rPr>
      <w:rFonts w:cs="Times New Roman"/>
      <w:color w:val="0000FF"/>
      <w:u w:val="single"/>
    </w:rPr>
  </w:style>
  <w:style w:type="paragraph" w:styleId="Header">
    <w:name w:val="header"/>
    <w:basedOn w:val="Normal"/>
    <w:link w:val="HeaderChar"/>
    <w:uiPriority w:val="99"/>
    <w:rsid w:val="009C5032"/>
    <w:pPr>
      <w:tabs>
        <w:tab w:val="center" w:pos="4513"/>
        <w:tab w:val="right" w:pos="9026"/>
      </w:tabs>
    </w:pPr>
  </w:style>
  <w:style w:type="character" w:customStyle="1" w:styleId="HeaderChar">
    <w:name w:val="Header Char"/>
    <w:basedOn w:val="DefaultParagraphFont"/>
    <w:link w:val="Header"/>
    <w:uiPriority w:val="99"/>
    <w:rsid w:val="009C5032"/>
    <w:rPr>
      <w:rFonts w:eastAsia="Times New Roman" w:cs="Times New Roman"/>
      <w:szCs w:val="18"/>
      <w:lang w:eastAsia="en-NZ"/>
    </w:rPr>
  </w:style>
  <w:style w:type="paragraph" w:styleId="Footer">
    <w:name w:val="footer"/>
    <w:basedOn w:val="Normal"/>
    <w:link w:val="FooterChar"/>
    <w:uiPriority w:val="99"/>
    <w:rsid w:val="009C5032"/>
    <w:pPr>
      <w:tabs>
        <w:tab w:val="center" w:pos="4513"/>
        <w:tab w:val="right" w:pos="9026"/>
      </w:tabs>
    </w:pPr>
  </w:style>
  <w:style w:type="character" w:customStyle="1" w:styleId="FooterChar">
    <w:name w:val="Footer Char"/>
    <w:basedOn w:val="DefaultParagraphFont"/>
    <w:link w:val="Footer"/>
    <w:uiPriority w:val="99"/>
    <w:rsid w:val="009C5032"/>
    <w:rPr>
      <w:rFonts w:eastAsia="Times New Roman" w:cs="Times New Roman"/>
      <w:szCs w:val="18"/>
      <w:lang w:eastAsia="en-NZ"/>
    </w:rPr>
  </w:style>
  <w:style w:type="character" w:customStyle="1" w:styleId="ListParagraphChar">
    <w:name w:val="List Paragraph Char"/>
    <w:basedOn w:val="DefaultParagraphFont"/>
    <w:link w:val="ListParagraph"/>
    <w:uiPriority w:val="34"/>
    <w:rsid w:val="009C5032"/>
    <w:rPr>
      <w:rFonts w:eastAsia="Times New Roman" w:cs="Times New Roman"/>
      <w:szCs w:val="18"/>
      <w:lang w:eastAsia="en-NZ"/>
    </w:rPr>
  </w:style>
  <w:style w:type="paragraph" w:styleId="BalloonText">
    <w:name w:val="Balloon Text"/>
    <w:basedOn w:val="Normal"/>
    <w:link w:val="BalloonTextChar"/>
    <w:uiPriority w:val="99"/>
    <w:semiHidden/>
    <w:unhideWhenUsed/>
    <w:rsid w:val="009C5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32"/>
    <w:rPr>
      <w:rFonts w:ascii="Tahoma" w:eastAsia="Times New Roman" w:hAnsi="Tahoma" w:cs="Tahoma"/>
      <w:sz w:val="16"/>
      <w:szCs w:val="16"/>
      <w:lang w:eastAsia="en-NZ"/>
    </w:rPr>
  </w:style>
  <w:style w:type="character" w:customStyle="1" w:styleId="Heading9Char">
    <w:name w:val="Heading 9 Char"/>
    <w:basedOn w:val="DefaultParagraphFont"/>
    <w:link w:val="Heading9"/>
    <w:uiPriority w:val="99"/>
    <w:rsid w:val="00E85970"/>
    <w:rPr>
      <w:rFonts w:ascii="Arial" w:eastAsia="Times New Roman" w:hAnsi="Arial" w:cs="Arial"/>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6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ynergia.co.nz"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www.gsdrc.org/go/display&amp;type=Document&amp;id=3213" TargetMode="External"/><Relationship Id="rId7" Type="http://schemas.openxmlformats.org/officeDocument/2006/relationships/footnotes" Target="footnotes.xml"/><Relationship Id="rId12" Type="http://schemas.openxmlformats.org/officeDocument/2006/relationships/hyperlink" Target="http://www.synergia.co.nz"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yperlink" Target="http://www.gsdrc.org/go/display&amp;type=Document&amp;id=34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9F727A-1B0B-4B79-AB72-CA90F859BF53}" type="doc">
      <dgm:prSet loTypeId="urn:microsoft.com/office/officeart/2005/8/layout/cycle4#1" loCatId="matrix" qsTypeId="urn:microsoft.com/office/officeart/2005/8/quickstyle/simple1" qsCatId="simple" csTypeId="urn:microsoft.com/office/officeart/2005/8/colors/accent1_2" csCatId="accent1" phldr="1"/>
      <dgm:spPr/>
      <dgm:t>
        <a:bodyPr/>
        <a:lstStyle/>
        <a:p>
          <a:endParaRPr lang="en-NZ"/>
        </a:p>
      </dgm:t>
    </dgm:pt>
    <dgm:pt modelId="{478F0B8D-B0DC-415D-8FEB-8AFEE8D9EC65}">
      <dgm:prSet phldrT="[Text]"/>
      <dgm:spPr/>
      <dgm:t>
        <a:bodyPr/>
        <a:lstStyle/>
        <a:p>
          <a:r>
            <a:rPr lang="en-NZ" b="1"/>
            <a:t>Political exclusion</a:t>
          </a:r>
        </a:p>
      </dgm:t>
    </dgm:pt>
    <dgm:pt modelId="{6F2F55F9-3B15-4AD7-A78F-07E59847C515}" type="parTrans" cxnId="{5A406117-B433-4BD7-B27E-73665E5BD921}">
      <dgm:prSet/>
      <dgm:spPr/>
      <dgm:t>
        <a:bodyPr/>
        <a:lstStyle/>
        <a:p>
          <a:endParaRPr lang="en-NZ"/>
        </a:p>
      </dgm:t>
    </dgm:pt>
    <dgm:pt modelId="{3403FA51-824A-4CCE-8B1B-980148C9406B}" type="sibTrans" cxnId="{5A406117-B433-4BD7-B27E-73665E5BD921}">
      <dgm:prSet/>
      <dgm:spPr/>
      <dgm:t>
        <a:bodyPr/>
        <a:lstStyle/>
        <a:p>
          <a:endParaRPr lang="en-NZ"/>
        </a:p>
      </dgm:t>
    </dgm:pt>
    <dgm:pt modelId="{B35635AC-A2AC-464D-B77A-A22A3DCB3A7F}">
      <dgm:prSet phldrT="[Text]" custT="1"/>
      <dgm:spPr/>
      <dgm:t>
        <a:bodyPr/>
        <a:lstStyle/>
        <a:p>
          <a:r>
            <a:rPr lang="en-NZ" sz="1000"/>
            <a:t>Denial of rights, freedom of expression and equality of opportunity</a:t>
          </a:r>
        </a:p>
      </dgm:t>
    </dgm:pt>
    <dgm:pt modelId="{323944EE-C93A-438D-9B13-223EC8B05BDA}" type="parTrans" cxnId="{8A0B52C8-AF3F-42D7-B648-A3809D110370}">
      <dgm:prSet/>
      <dgm:spPr/>
      <dgm:t>
        <a:bodyPr/>
        <a:lstStyle/>
        <a:p>
          <a:endParaRPr lang="en-NZ"/>
        </a:p>
      </dgm:t>
    </dgm:pt>
    <dgm:pt modelId="{2F810679-B0EF-4D7B-8D2D-6A18F7AA1E3C}" type="sibTrans" cxnId="{8A0B52C8-AF3F-42D7-B648-A3809D110370}">
      <dgm:prSet/>
      <dgm:spPr/>
      <dgm:t>
        <a:bodyPr/>
        <a:lstStyle/>
        <a:p>
          <a:endParaRPr lang="en-NZ"/>
        </a:p>
      </dgm:t>
    </dgm:pt>
    <dgm:pt modelId="{615DCFC2-49ED-4961-923E-DCA3790594C0}">
      <dgm:prSet phldrT="[Text]"/>
      <dgm:spPr/>
      <dgm:t>
        <a:bodyPr/>
        <a:lstStyle/>
        <a:p>
          <a:r>
            <a:rPr lang="en-NZ" b="1"/>
            <a:t>Economic exclusion</a:t>
          </a:r>
        </a:p>
      </dgm:t>
    </dgm:pt>
    <dgm:pt modelId="{5138E8B4-6634-4A7F-A11A-B7029ED28D99}" type="parTrans" cxnId="{372E73B1-06D8-479D-BB61-28F556E52700}">
      <dgm:prSet/>
      <dgm:spPr/>
      <dgm:t>
        <a:bodyPr/>
        <a:lstStyle/>
        <a:p>
          <a:endParaRPr lang="en-NZ"/>
        </a:p>
      </dgm:t>
    </dgm:pt>
    <dgm:pt modelId="{AF527BBE-D69A-4D05-9E7A-8C4120B9DFD1}" type="sibTrans" cxnId="{372E73B1-06D8-479D-BB61-28F556E52700}">
      <dgm:prSet/>
      <dgm:spPr/>
      <dgm:t>
        <a:bodyPr/>
        <a:lstStyle/>
        <a:p>
          <a:endParaRPr lang="en-NZ"/>
        </a:p>
      </dgm:t>
    </dgm:pt>
    <dgm:pt modelId="{6768504B-99EA-4FD2-98BB-D61943518C09}">
      <dgm:prSet phldrT="[Text]" custT="1"/>
      <dgm:spPr/>
      <dgm:t>
        <a:bodyPr/>
        <a:lstStyle/>
        <a:p>
          <a:r>
            <a:rPr lang="en-NZ" sz="1000"/>
            <a:t>Lack of access to labour markets, credit and other capital assets </a:t>
          </a:r>
        </a:p>
      </dgm:t>
    </dgm:pt>
    <dgm:pt modelId="{D28CE1E2-7BAC-4684-AE7F-F48CF15C7AA1}" type="parTrans" cxnId="{D8293E6A-CC50-4ED4-B66B-CDDB93AAB92D}">
      <dgm:prSet/>
      <dgm:spPr/>
      <dgm:t>
        <a:bodyPr/>
        <a:lstStyle/>
        <a:p>
          <a:endParaRPr lang="en-NZ"/>
        </a:p>
      </dgm:t>
    </dgm:pt>
    <dgm:pt modelId="{85C1FDA4-BCA6-43F5-876C-DE483A2ED376}" type="sibTrans" cxnId="{D8293E6A-CC50-4ED4-B66B-CDDB93AAB92D}">
      <dgm:prSet/>
      <dgm:spPr/>
      <dgm:t>
        <a:bodyPr/>
        <a:lstStyle/>
        <a:p>
          <a:endParaRPr lang="en-NZ"/>
        </a:p>
      </dgm:t>
    </dgm:pt>
    <dgm:pt modelId="{E75EFB42-330A-42FF-900F-AEEBB3E09F20}">
      <dgm:prSet phldrT="[Text]"/>
      <dgm:spPr/>
      <dgm:t>
        <a:bodyPr/>
        <a:lstStyle/>
        <a:p>
          <a:r>
            <a:rPr lang="en-NZ" b="1"/>
            <a:t>Social exclusion</a:t>
          </a:r>
        </a:p>
      </dgm:t>
    </dgm:pt>
    <dgm:pt modelId="{99C6C10D-0FD2-4CBD-9965-251E37122547}" type="parTrans" cxnId="{4E7F713F-CF34-42AC-A19F-9AF73012D630}">
      <dgm:prSet/>
      <dgm:spPr/>
      <dgm:t>
        <a:bodyPr/>
        <a:lstStyle/>
        <a:p>
          <a:endParaRPr lang="en-NZ"/>
        </a:p>
      </dgm:t>
    </dgm:pt>
    <dgm:pt modelId="{75E45F70-A5EA-4441-BB5F-78C8EC26CA42}" type="sibTrans" cxnId="{4E7F713F-CF34-42AC-A19F-9AF73012D630}">
      <dgm:prSet/>
      <dgm:spPr/>
      <dgm:t>
        <a:bodyPr/>
        <a:lstStyle/>
        <a:p>
          <a:endParaRPr lang="en-NZ"/>
        </a:p>
      </dgm:t>
    </dgm:pt>
    <dgm:pt modelId="{9B928711-14D2-48ED-97AD-82499EB1FAE6}">
      <dgm:prSet phldrT="[Text]" custT="1"/>
      <dgm:spPr/>
      <dgm:t>
        <a:bodyPr/>
        <a:lstStyle/>
        <a:p>
          <a:r>
            <a:rPr lang="en-NZ" sz="1000"/>
            <a:t>Reduced opportunity and access due to gender, ethnicity, age and disability</a:t>
          </a:r>
        </a:p>
      </dgm:t>
    </dgm:pt>
    <dgm:pt modelId="{DC77F215-6F91-4B11-92A0-51FDC703F2C1}" type="parTrans" cxnId="{44C65FC4-342C-4B04-8285-EF0393217537}">
      <dgm:prSet/>
      <dgm:spPr/>
      <dgm:t>
        <a:bodyPr/>
        <a:lstStyle/>
        <a:p>
          <a:endParaRPr lang="en-NZ"/>
        </a:p>
      </dgm:t>
    </dgm:pt>
    <dgm:pt modelId="{292829FD-7FE9-479C-8C41-35F37F3DC92E}" type="sibTrans" cxnId="{44C65FC4-342C-4B04-8285-EF0393217537}">
      <dgm:prSet/>
      <dgm:spPr/>
      <dgm:t>
        <a:bodyPr/>
        <a:lstStyle/>
        <a:p>
          <a:endParaRPr lang="en-NZ"/>
        </a:p>
      </dgm:t>
    </dgm:pt>
    <dgm:pt modelId="{A2C8D802-1882-4E3F-AC31-1AFCE77EF74F}">
      <dgm:prSet phldrT="[Text]"/>
      <dgm:spPr/>
      <dgm:t>
        <a:bodyPr/>
        <a:lstStyle/>
        <a:p>
          <a:r>
            <a:rPr lang="en-NZ" b="1"/>
            <a:t>Cultural exclusion</a:t>
          </a:r>
        </a:p>
      </dgm:t>
    </dgm:pt>
    <dgm:pt modelId="{743C2BDF-9EA7-4BCC-B432-418AF40570F6}" type="parTrans" cxnId="{2C2B7723-8052-43E2-A31F-678451EA6920}">
      <dgm:prSet/>
      <dgm:spPr/>
      <dgm:t>
        <a:bodyPr/>
        <a:lstStyle/>
        <a:p>
          <a:endParaRPr lang="en-NZ"/>
        </a:p>
      </dgm:t>
    </dgm:pt>
    <dgm:pt modelId="{B12F0CF1-9631-4EF4-8430-41795E1B2059}" type="sibTrans" cxnId="{2C2B7723-8052-43E2-A31F-678451EA6920}">
      <dgm:prSet/>
      <dgm:spPr/>
      <dgm:t>
        <a:bodyPr/>
        <a:lstStyle/>
        <a:p>
          <a:endParaRPr lang="en-NZ"/>
        </a:p>
      </dgm:t>
    </dgm:pt>
    <dgm:pt modelId="{7BC478A4-399A-4147-A017-B4282AD8C00C}">
      <dgm:prSet phldrT="[Text]" custT="1"/>
      <dgm:spPr/>
      <dgm:t>
        <a:bodyPr/>
        <a:lstStyle/>
        <a:p>
          <a:r>
            <a:rPr lang="en-NZ" sz="1000"/>
            <a:t>Diverse values, norms and ways of living are not accepted or respected</a:t>
          </a:r>
        </a:p>
      </dgm:t>
    </dgm:pt>
    <dgm:pt modelId="{A890A0BE-8DFA-44F3-9756-8DF7704352B8}" type="parTrans" cxnId="{033A481D-CC41-4AFA-A409-A0BA3C656516}">
      <dgm:prSet/>
      <dgm:spPr/>
      <dgm:t>
        <a:bodyPr/>
        <a:lstStyle/>
        <a:p>
          <a:endParaRPr lang="en-NZ"/>
        </a:p>
      </dgm:t>
    </dgm:pt>
    <dgm:pt modelId="{00244098-2A7A-4F98-8BFD-9BDAABA19760}" type="sibTrans" cxnId="{033A481D-CC41-4AFA-A409-A0BA3C656516}">
      <dgm:prSet/>
      <dgm:spPr/>
      <dgm:t>
        <a:bodyPr/>
        <a:lstStyle/>
        <a:p>
          <a:endParaRPr lang="en-NZ"/>
        </a:p>
      </dgm:t>
    </dgm:pt>
    <dgm:pt modelId="{61CB73F1-D2B5-4695-A309-CBE7BE7B6896}" type="pres">
      <dgm:prSet presAssocID="{499F727A-1B0B-4B79-AB72-CA90F859BF53}" presName="cycleMatrixDiagram" presStyleCnt="0">
        <dgm:presLayoutVars>
          <dgm:chMax val="1"/>
          <dgm:dir/>
          <dgm:animLvl val="lvl"/>
          <dgm:resizeHandles val="exact"/>
        </dgm:presLayoutVars>
      </dgm:prSet>
      <dgm:spPr/>
      <dgm:t>
        <a:bodyPr/>
        <a:lstStyle/>
        <a:p>
          <a:endParaRPr lang="en-NZ"/>
        </a:p>
      </dgm:t>
    </dgm:pt>
    <dgm:pt modelId="{0DEE0599-6C9B-463D-AA43-EB9EBFA748AF}" type="pres">
      <dgm:prSet presAssocID="{499F727A-1B0B-4B79-AB72-CA90F859BF53}" presName="children" presStyleCnt="0"/>
      <dgm:spPr/>
    </dgm:pt>
    <dgm:pt modelId="{99DC8BC3-1F5E-4A12-8AE5-372795F7BE00}" type="pres">
      <dgm:prSet presAssocID="{499F727A-1B0B-4B79-AB72-CA90F859BF53}" presName="child1group" presStyleCnt="0"/>
      <dgm:spPr/>
    </dgm:pt>
    <dgm:pt modelId="{0085BE31-CC97-43DA-9050-044837E7ED91}" type="pres">
      <dgm:prSet presAssocID="{499F727A-1B0B-4B79-AB72-CA90F859BF53}" presName="child1" presStyleLbl="bgAcc1" presStyleIdx="0" presStyleCnt="4"/>
      <dgm:spPr/>
      <dgm:t>
        <a:bodyPr/>
        <a:lstStyle/>
        <a:p>
          <a:endParaRPr lang="en-NZ"/>
        </a:p>
      </dgm:t>
    </dgm:pt>
    <dgm:pt modelId="{3E17B40C-1408-4C90-A15B-99619E3868FB}" type="pres">
      <dgm:prSet presAssocID="{499F727A-1B0B-4B79-AB72-CA90F859BF53}" presName="child1Text" presStyleLbl="bgAcc1" presStyleIdx="0" presStyleCnt="4">
        <dgm:presLayoutVars>
          <dgm:bulletEnabled val="1"/>
        </dgm:presLayoutVars>
      </dgm:prSet>
      <dgm:spPr/>
      <dgm:t>
        <a:bodyPr/>
        <a:lstStyle/>
        <a:p>
          <a:endParaRPr lang="en-NZ"/>
        </a:p>
      </dgm:t>
    </dgm:pt>
    <dgm:pt modelId="{AC99BFB4-19B4-461F-AADD-230436E693EE}" type="pres">
      <dgm:prSet presAssocID="{499F727A-1B0B-4B79-AB72-CA90F859BF53}" presName="child2group" presStyleCnt="0"/>
      <dgm:spPr/>
    </dgm:pt>
    <dgm:pt modelId="{5053B9F9-9E73-4249-A33C-18965D600FE2}" type="pres">
      <dgm:prSet presAssocID="{499F727A-1B0B-4B79-AB72-CA90F859BF53}" presName="child2" presStyleLbl="bgAcc1" presStyleIdx="1" presStyleCnt="4"/>
      <dgm:spPr/>
      <dgm:t>
        <a:bodyPr/>
        <a:lstStyle/>
        <a:p>
          <a:endParaRPr lang="en-NZ"/>
        </a:p>
      </dgm:t>
    </dgm:pt>
    <dgm:pt modelId="{41B6DC5A-F09B-455F-9835-8141A998BAEB}" type="pres">
      <dgm:prSet presAssocID="{499F727A-1B0B-4B79-AB72-CA90F859BF53}" presName="child2Text" presStyleLbl="bgAcc1" presStyleIdx="1" presStyleCnt="4">
        <dgm:presLayoutVars>
          <dgm:bulletEnabled val="1"/>
        </dgm:presLayoutVars>
      </dgm:prSet>
      <dgm:spPr/>
      <dgm:t>
        <a:bodyPr/>
        <a:lstStyle/>
        <a:p>
          <a:endParaRPr lang="en-NZ"/>
        </a:p>
      </dgm:t>
    </dgm:pt>
    <dgm:pt modelId="{86A5E7AD-0F75-490B-88A3-FDC3AB378DA9}" type="pres">
      <dgm:prSet presAssocID="{499F727A-1B0B-4B79-AB72-CA90F859BF53}" presName="child3group" presStyleCnt="0"/>
      <dgm:spPr/>
    </dgm:pt>
    <dgm:pt modelId="{903DD31E-3CC4-4A85-A19B-A103D3DEA7F2}" type="pres">
      <dgm:prSet presAssocID="{499F727A-1B0B-4B79-AB72-CA90F859BF53}" presName="child3" presStyleLbl="bgAcc1" presStyleIdx="2" presStyleCnt="4"/>
      <dgm:spPr/>
      <dgm:t>
        <a:bodyPr/>
        <a:lstStyle/>
        <a:p>
          <a:endParaRPr lang="en-NZ"/>
        </a:p>
      </dgm:t>
    </dgm:pt>
    <dgm:pt modelId="{B98140C5-021E-48A9-B107-350B255A3933}" type="pres">
      <dgm:prSet presAssocID="{499F727A-1B0B-4B79-AB72-CA90F859BF53}" presName="child3Text" presStyleLbl="bgAcc1" presStyleIdx="2" presStyleCnt="4">
        <dgm:presLayoutVars>
          <dgm:bulletEnabled val="1"/>
        </dgm:presLayoutVars>
      </dgm:prSet>
      <dgm:spPr/>
      <dgm:t>
        <a:bodyPr/>
        <a:lstStyle/>
        <a:p>
          <a:endParaRPr lang="en-NZ"/>
        </a:p>
      </dgm:t>
    </dgm:pt>
    <dgm:pt modelId="{729E77E9-6CDE-4E6E-95B9-5C7B31C656EA}" type="pres">
      <dgm:prSet presAssocID="{499F727A-1B0B-4B79-AB72-CA90F859BF53}" presName="child4group" presStyleCnt="0"/>
      <dgm:spPr/>
    </dgm:pt>
    <dgm:pt modelId="{E7BD27FC-1CC5-4D72-8D5E-55FA1A3C440F}" type="pres">
      <dgm:prSet presAssocID="{499F727A-1B0B-4B79-AB72-CA90F859BF53}" presName="child4" presStyleLbl="bgAcc1" presStyleIdx="3" presStyleCnt="4"/>
      <dgm:spPr/>
      <dgm:t>
        <a:bodyPr/>
        <a:lstStyle/>
        <a:p>
          <a:endParaRPr lang="en-NZ"/>
        </a:p>
      </dgm:t>
    </dgm:pt>
    <dgm:pt modelId="{C3486214-8109-4D52-8067-814A209B1BEF}" type="pres">
      <dgm:prSet presAssocID="{499F727A-1B0B-4B79-AB72-CA90F859BF53}" presName="child4Text" presStyleLbl="bgAcc1" presStyleIdx="3" presStyleCnt="4">
        <dgm:presLayoutVars>
          <dgm:bulletEnabled val="1"/>
        </dgm:presLayoutVars>
      </dgm:prSet>
      <dgm:spPr/>
      <dgm:t>
        <a:bodyPr/>
        <a:lstStyle/>
        <a:p>
          <a:endParaRPr lang="en-NZ"/>
        </a:p>
      </dgm:t>
    </dgm:pt>
    <dgm:pt modelId="{5B702501-3B03-4657-AB62-1999BB469EF2}" type="pres">
      <dgm:prSet presAssocID="{499F727A-1B0B-4B79-AB72-CA90F859BF53}" presName="childPlaceholder" presStyleCnt="0"/>
      <dgm:spPr/>
    </dgm:pt>
    <dgm:pt modelId="{57A519AD-EFBC-498D-ABFE-BDA9EE76CBFC}" type="pres">
      <dgm:prSet presAssocID="{499F727A-1B0B-4B79-AB72-CA90F859BF53}" presName="circle" presStyleCnt="0"/>
      <dgm:spPr/>
    </dgm:pt>
    <dgm:pt modelId="{8BB8999B-FABA-4E96-83DB-C2F41F69B255}" type="pres">
      <dgm:prSet presAssocID="{499F727A-1B0B-4B79-AB72-CA90F859BF53}" presName="quadrant1" presStyleLbl="node1" presStyleIdx="0" presStyleCnt="4">
        <dgm:presLayoutVars>
          <dgm:chMax val="1"/>
          <dgm:bulletEnabled val="1"/>
        </dgm:presLayoutVars>
      </dgm:prSet>
      <dgm:spPr/>
      <dgm:t>
        <a:bodyPr/>
        <a:lstStyle/>
        <a:p>
          <a:endParaRPr lang="en-NZ"/>
        </a:p>
      </dgm:t>
    </dgm:pt>
    <dgm:pt modelId="{C7EF1ACC-E472-4C8E-B9E2-AAF33E27AC92}" type="pres">
      <dgm:prSet presAssocID="{499F727A-1B0B-4B79-AB72-CA90F859BF53}" presName="quadrant2" presStyleLbl="node1" presStyleIdx="1" presStyleCnt="4">
        <dgm:presLayoutVars>
          <dgm:chMax val="1"/>
          <dgm:bulletEnabled val="1"/>
        </dgm:presLayoutVars>
      </dgm:prSet>
      <dgm:spPr/>
      <dgm:t>
        <a:bodyPr/>
        <a:lstStyle/>
        <a:p>
          <a:endParaRPr lang="en-NZ"/>
        </a:p>
      </dgm:t>
    </dgm:pt>
    <dgm:pt modelId="{96BECD3C-7863-436A-8010-EBBE48E52E3B}" type="pres">
      <dgm:prSet presAssocID="{499F727A-1B0B-4B79-AB72-CA90F859BF53}" presName="quadrant3" presStyleLbl="node1" presStyleIdx="2" presStyleCnt="4">
        <dgm:presLayoutVars>
          <dgm:chMax val="1"/>
          <dgm:bulletEnabled val="1"/>
        </dgm:presLayoutVars>
      </dgm:prSet>
      <dgm:spPr/>
      <dgm:t>
        <a:bodyPr/>
        <a:lstStyle/>
        <a:p>
          <a:endParaRPr lang="en-NZ"/>
        </a:p>
      </dgm:t>
    </dgm:pt>
    <dgm:pt modelId="{F36CC535-14B0-4C54-86DB-06537AD6E068}" type="pres">
      <dgm:prSet presAssocID="{499F727A-1B0B-4B79-AB72-CA90F859BF53}" presName="quadrant4" presStyleLbl="node1" presStyleIdx="3" presStyleCnt="4">
        <dgm:presLayoutVars>
          <dgm:chMax val="1"/>
          <dgm:bulletEnabled val="1"/>
        </dgm:presLayoutVars>
      </dgm:prSet>
      <dgm:spPr/>
      <dgm:t>
        <a:bodyPr/>
        <a:lstStyle/>
        <a:p>
          <a:endParaRPr lang="en-NZ"/>
        </a:p>
      </dgm:t>
    </dgm:pt>
    <dgm:pt modelId="{6BF7E1F7-DA46-474D-93C4-A6D4F6AE4D45}" type="pres">
      <dgm:prSet presAssocID="{499F727A-1B0B-4B79-AB72-CA90F859BF53}" presName="quadrantPlaceholder" presStyleCnt="0"/>
      <dgm:spPr/>
    </dgm:pt>
    <dgm:pt modelId="{BFFBAA2E-423E-49CD-BA7C-2BEA4DB96F2D}" type="pres">
      <dgm:prSet presAssocID="{499F727A-1B0B-4B79-AB72-CA90F859BF53}" presName="center1" presStyleLbl="fgShp" presStyleIdx="0" presStyleCnt="2"/>
      <dgm:spPr/>
    </dgm:pt>
    <dgm:pt modelId="{20E9EC70-310F-44ED-AF1B-3A2E2706F2A3}" type="pres">
      <dgm:prSet presAssocID="{499F727A-1B0B-4B79-AB72-CA90F859BF53}" presName="center2" presStyleLbl="fgShp" presStyleIdx="1" presStyleCnt="2"/>
      <dgm:spPr/>
    </dgm:pt>
  </dgm:ptLst>
  <dgm:cxnLst>
    <dgm:cxn modelId="{372E73B1-06D8-479D-BB61-28F556E52700}" srcId="{499F727A-1B0B-4B79-AB72-CA90F859BF53}" destId="{615DCFC2-49ED-4961-923E-DCA3790594C0}" srcOrd="1" destOrd="0" parTransId="{5138E8B4-6634-4A7F-A11A-B7029ED28D99}" sibTransId="{AF527BBE-D69A-4D05-9E7A-8C4120B9DFD1}"/>
    <dgm:cxn modelId="{8F5D954B-7024-4B53-B7C5-22CBDFCEB142}" type="presOf" srcId="{6768504B-99EA-4FD2-98BB-D61943518C09}" destId="{41B6DC5A-F09B-455F-9835-8141A998BAEB}" srcOrd="1" destOrd="0" presId="urn:microsoft.com/office/officeart/2005/8/layout/cycle4#1"/>
    <dgm:cxn modelId="{05DC22DE-5254-40A4-82DD-A8D311DB9B1D}" type="presOf" srcId="{9B928711-14D2-48ED-97AD-82499EB1FAE6}" destId="{B98140C5-021E-48A9-B107-350B255A3933}" srcOrd="1" destOrd="0" presId="urn:microsoft.com/office/officeart/2005/8/layout/cycle4#1"/>
    <dgm:cxn modelId="{C162378F-FC51-4EBB-A5DF-28F12A3F0BFE}" type="presOf" srcId="{A2C8D802-1882-4E3F-AC31-1AFCE77EF74F}" destId="{F36CC535-14B0-4C54-86DB-06537AD6E068}" srcOrd="0" destOrd="0" presId="urn:microsoft.com/office/officeart/2005/8/layout/cycle4#1"/>
    <dgm:cxn modelId="{D2FF81C4-E909-4F3E-8082-30ED671660E1}" type="presOf" srcId="{B35635AC-A2AC-464D-B77A-A22A3DCB3A7F}" destId="{3E17B40C-1408-4C90-A15B-99619E3868FB}" srcOrd="1" destOrd="0" presId="urn:microsoft.com/office/officeart/2005/8/layout/cycle4#1"/>
    <dgm:cxn modelId="{44C65FC4-342C-4B04-8285-EF0393217537}" srcId="{E75EFB42-330A-42FF-900F-AEEBB3E09F20}" destId="{9B928711-14D2-48ED-97AD-82499EB1FAE6}" srcOrd="0" destOrd="0" parTransId="{DC77F215-6F91-4B11-92A0-51FDC703F2C1}" sibTransId="{292829FD-7FE9-479C-8C41-35F37F3DC92E}"/>
    <dgm:cxn modelId="{9DC63905-997A-4B86-A6B9-448AC407615F}" type="presOf" srcId="{9B928711-14D2-48ED-97AD-82499EB1FAE6}" destId="{903DD31E-3CC4-4A85-A19B-A103D3DEA7F2}" srcOrd="0" destOrd="0" presId="urn:microsoft.com/office/officeart/2005/8/layout/cycle4#1"/>
    <dgm:cxn modelId="{D8293E6A-CC50-4ED4-B66B-CDDB93AAB92D}" srcId="{615DCFC2-49ED-4961-923E-DCA3790594C0}" destId="{6768504B-99EA-4FD2-98BB-D61943518C09}" srcOrd="0" destOrd="0" parTransId="{D28CE1E2-7BAC-4684-AE7F-F48CF15C7AA1}" sibTransId="{85C1FDA4-BCA6-43F5-876C-DE483A2ED376}"/>
    <dgm:cxn modelId="{5A406117-B433-4BD7-B27E-73665E5BD921}" srcId="{499F727A-1B0B-4B79-AB72-CA90F859BF53}" destId="{478F0B8D-B0DC-415D-8FEB-8AFEE8D9EC65}" srcOrd="0" destOrd="0" parTransId="{6F2F55F9-3B15-4AD7-A78F-07E59847C515}" sibTransId="{3403FA51-824A-4CCE-8B1B-980148C9406B}"/>
    <dgm:cxn modelId="{A972E460-51C7-435B-B90D-8F872751703A}" type="presOf" srcId="{7BC478A4-399A-4147-A017-B4282AD8C00C}" destId="{E7BD27FC-1CC5-4D72-8D5E-55FA1A3C440F}" srcOrd="0" destOrd="0" presId="urn:microsoft.com/office/officeart/2005/8/layout/cycle4#1"/>
    <dgm:cxn modelId="{2C2B7723-8052-43E2-A31F-678451EA6920}" srcId="{499F727A-1B0B-4B79-AB72-CA90F859BF53}" destId="{A2C8D802-1882-4E3F-AC31-1AFCE77EF74F}" srcOrd="3" destOrd="0" parTransId="{743C2BDF-9EA7-4BCC-B432-418AF40570F6}" sibTransId="{B12F0CF1-9631-4EF4-8430-41795E1B2059}"/>
    <dgm:cxn modelId="{4E7F713F-CF34-42AC-A19F-9AF73012D630}" srcId="{499F727A-1B0B-4B79-AB72-CA90F859BF53}" destId="{E75EFB42-330A-42FF-900F-AEEBB3E09F20}" srcOrd="2" destOrd="0" parTransId="{99C6C10D-0FD2-4CBD-9965-251E37122547}" sibTransId="{75E45F70-A5EA-4441-BB5F-78C8EC26CA42}"/>
    <dgm:cxn modelId="{E52348ED-EFE0-4D32-AE6A-810AC749E398}" type="presOf" srcId="{6768504B-99EA-4FD2-98BB-D61943518C09}" destId="{5053B9F9-9E73-4249-A33C-18965D600FE2}" srcOrd="0" destOrd="0" presId="urn:microsoft.com/office/officeart/2005/8/layout/cycle4#1"/>
    <dgm:cxn modelId="{A2A6D31A-1B8F-4D4D-8E07-84CD75EAC365}" type="presOf" srcId="{B35635AC-A2AC-464D-B77A-A22A3DCB3A7F}" destId="{0085BE31-CC97-43DA-9050-044837E7ED91}" srcOrd="0" destOrd="0" presId="urn:microsoft.com/office/officeart/2005/8/layout/cycle4#1"/>
    <dgm:cxn modelId="{D3283B7A-8699-409F-9E41-121F643938F5}" type="presOf" srcId="{E75EFB42-330A-42FF-900F-AEEBB3E09F20}" destId="{96BECD3C-7863-436A-8010-EBBE48E52E3B}" srcOrd="0" destOrd="0" presId="urn:microsoft.com/office/officeart/2005/8/layout/cycle4#1"/>
    <dgm:cxn modelId="{8A0B52C8-AF3F-42D7-B648-A3809D110370}" srcId="{478F0B8D-B0DC-415D-8FEB-8AFEE8D9EC65}" destId="{B35635AC-A2AC-464D-B77A-A22A3DCB3A7F}" srcOrd="0" destOrd="0" parTransId="{323944EE-C93A-438D-9B13-223EC8B05BDA}" sibTransId="{2F810679-B0EF-4D7B-8D2D-6A18F7AA1E3C}"/>
    <dgm:cxn modelId="{825AAD8B-FA69-4DFE-915C-CE080EA0BE86}" type="presOf" srcId="{615DCFC2-49ED-4961-923E-DCA3790594C0}" destId="{C7EF1ACC-E472-4C8E-B9E2-AAF33E27AC92}" srcOrd="0" destOrd="0" presId="urn:microsoft.com/office/officeart/2005/8/layout/cycle4#1"/>
    <dgm:cxn modelId="{0FDF4988-C501-4DFD-9B02-AC5ACBA1D2CD}" type="presOf" srcId="{7BC478A4-399A-4147-A017-B4282AD8C00C}" destId="{C3486214-8109-4D52-8067-814A209B1BEF}" srcOrd="1" destOrd="0" presId="urn:microsoft.com/office/officeart/2005/8/layout/cycle4#1"/>
    <dgm:cxn modelId="{033A481D-CC41-4AFA-A409-A0BA3C656516}" srcId="{A2C8D802-1882-4E3F-AC31-1AFCE77EF74F}" destId="{7BC478A4-399A-4147-A017-B4282AD8C00C}" srcOrd="0" destOrd="0" parTransId="{A890A0BE-8DFA-44F3-9756-8DF7704352B8}" sibTransId="{00244098-2A7A-4F98-8BFD-9BDAABA19760}"/>
    <dgm:cxn modelId="{FF30842E-1A73-4B0E-80BD-9B083CECFBFD}" type="presOf" srcId="{499F727A-1B0B-4B79-AB72-CA90F859BF53}" destId="{61CB73F1-D2B5-4695-A309-CBE7BE7B6896}" srcOrd="0" destOrd="0" presId="urn:microsoft.com/office/officeart/2005/8/layout/cycle4#1"/>
    <dgm:cxn modelId="{155521E7-88AF-4386-AF23-0C90E90284E5}" type="presOf" srcId="{478F0B8D-B0DC-415D-8FEB-8AFEE8D9EC65}" destId="{8BB8999B-FABA-4E96-83DB-C2F41F69B255}" srcOrd="0" destOrd="0" presId="urn:microsoft.com/office/officeart/2005/8/layout/cycle4#1"/>
    <dgm:cxn modelId="{9A429453-E08C-4EE5-9745-1F68DB70A662}" type="presParOf" srcId="{61CB73F1-D2B5-4695-A309-CBE7BE7B6896}" destId="{0DEE0599-6C9B-463D-AA43-EB9EBFA748AF}" srcOrd="0" destOrd="0" presId="urn:microsoft.com/office/officeart/2005/8/layout/cycle4#1"/>
    <dgm:cxn modelId="{2FD5763E-C302-4A60-A567-52B98346F473}" type="presParOf" srcId="{0DEE0599-6C9B-463D-AA43-EB9EBFA748AF}" destId="{99DC8BC3-1F5E-4A12-8AE5-372795F7BE00}" srcOrd="0" destOrd="0" presId="urn:microsoft.com/office/officeart/2005/8/layout/cycle4#1"/>
    <dgm:cxn modelId="{83567022-C6F5-4D21-B3ED-DCED1E591333}" type="presParOf" srcId="{99DC8BC3-1F5E-4A12-8AE5-372795F7BE00}" destId="{0085BE31-CC97-43DA-9050-044837E7ED91}" srcOrd="0" destOrd="0" presId="urn:microsoft.com/office/officeart/2005/8/layout/cycle4#1"/>
    <dgm:cxn modelId="{84E1C59D-C8CB-4F22-9F2D-EB3A5FFEB20F}" type="presParOf" srcId="{99DC8BC3-1F5E-4A12-8AE5-372795F7BE00}" destId="{3E17B40C-1408-4C90-A15B-99619E3868FB}" srcOrd="1" destOrd="0" presId="urn:microsoft.com/office/officeart/2005/8/layout/cycle4#1"/>
    <dgm:cxn modelId="{68806245-540F-441B-888D-C7CE3D8BA972}" type="presParOf" srcId="{0DEE0599-6C9B-463D-AA43-EB9EBFA748AF}" destId="{AC99BFB4-19B4-461F-AADD-230436E693EE}" srcOrd="1" destOrd="0" presId="urn:microsoft.com/office/officeart/2005/8/layout/cycle4#1"/>
    <dgm:cxn modelId="{1B9582CC-12C8-4AEC-BD70-ACEA7CBCE718}" type="presParOf" srcId="{AC99BFB4-19B4-461F-AADD-230436E693EE}" destId="{5053B9F9-9E73-4249-A33C-18965D600FE2}" srcOrd="0" destOrd="0" presId="urn:microsoft.com/office/officeart/2005/8/layout/cycle4#1"/>
    <dgm:cxn modelId="{1A63818C-69C5-4B9A-8398-7C7A2E31C83E}" type="presParOf" srcId="{AC99BFB4-19B4-461F-AADD-230436E693EE}" destId="{41B6DC5A-F09B-455F-9835-8141A998BAEB}" srcOrd="1" destOrd="0" presId="urn:microsoft.com/office/officeart/2005/8/layout/cycle4#1"/>
    <dgm:cxn modelId="{F78948D4-8198-41BC-AF16-A3B41B65ED9B}" type="presParOf" srcId="{0DEE0599-6C9B-463D-AA43-EB9EBFA748AF}" destId="{86A5E7AD-0F75-490B-88A3-FDC3AB378DA9}" srcOrd="2" destOrd="0" presId="urn:microsoft.com/office/officeart/2005/8/layout/cycle4#1"/>
    <dgm:cxn modelId="{7388BA31-578E-4404-9346-CEE8E22B87C7}" type="presParOf" srcId="{86A5E7AD-0F75-490B-88A3-FDC3AB378DA9}" destId="{903DD31E-3CC4-4A85-A19B-A103D3DEA7F2}" srcOrd="0" destOrd="0" presId="urn:microsoft.com/office/officeart/2005/8/layout/cycle4#1"/>
    <dgm:cxn modelId="{CCB3C6F8-1A4E-49A3-A90E-10A52CF35DDC}" type="presParOf" srcId="{86A5E7AD-0F75-490B-88A3-FDC3AB378DA9}" destId="{B98140C5-021E-48A9-B107-350B255A3933}" srcOrd="1" destOrd="0" presId="urn:microsoft.com/office/officeart/2005/8/layout/cycle4#1"/>
    <dgm:cxn modelId="{82AB5A4C-B80F-4597-8C2D-AB906F879E9D}" type="presParOf" srcId="{0DEE0599-6C9B-463D-AA43-EB9EBFA748AF}" destId="{729E77E9-6CDE-4E6E-95B9-5C7B31C656EA}" srcOrd="3" destOrd="0" presId="urn:microsoft.com/office/officeart/2005/8/layout/cycle4#1"/>
    <dgm:cxn modelId="{68E99CE3-9E3D-4DB8-A2C6-3D2E9B851DF1}" type="presParOf" srcId="{729E77E9-6CDE-4E6E-95B9-5C7B31C656EA}" destId="{E7BD27FC-1CC5-4D72-8D5E-55FA1A3C440F}" srcOrd="0" destOrd="0" presId="urn:microsoft.com/office/officeart/2005/8/layout/cycle4#1"/>
    <dgm:cxn modelId="{746B122B-2C7E-4D15-9E8A-397B27B36515}" type="presParOf" srcId="{729E77E9-6CDE-4E6E-95B9-5C7B31C656EA}" destId="{C3486214-8109-4D52-8067-814A209B1BEF}" srcOrd="1" destOrd="0" presId="urn:microsoft.com/office/officeart/2005/8/layout/cycle4#1"/>
    <dgm:cxn modelId="{479A033C-C72E-4F8F-BB83-DEB2BCC9E621}" type="presParOf" srcId="{0DEE0599-6C9B-463D-AA43-EB9EBFA748AF}" destId="{5B702501-3B03-4657-AB62-1999BB469EF2}" srcOrd="4" destOrd="0" presId="urn:microsoft.com/office/officeart/2005/8/layout/cycle4#1"/>
    <dgm:cxn modelId="{CA7B536C-779C-4F19-96CB-950A89F810AE}" type="presParOf" srcId="{61CB73F1-D2B5-4695-A309-CBE7BE7B6896}" destId="{57A519AD-EFBC-498D-ABFE-BDA9EE76CBFC}" srcOrd="1" destOrd="0" presId="urn:microsoft.com/office/officeart/2005/8/layout/cycle4#1"/>
    <dgm:cxn modelId="{C9AF3A24-BBDF-46E5-B04C-FEB1554FDB3A}" type="presParOf" srcId="{57A519AD-EFBC-498D-ABFE-BDA9EE76CBFC}" destId="{8BB8999B-FABA-4E96-83DB-C2F41F69B255}" srcOrd="0" destOrd="0" presId="urn:microsoft.com/office/officeart/2005/8/layout/cycle4#1"/>
    <dgm:cxn modelId="{54712516-5A45-4660-8D16-4FC437A18325}" type="presParOf" srcId="{57A519AD-EFBC-498D-ABFE-BDA9EE76CBFC}" destId="{C7EF1ACC-E472-4C8E-B9E2-AAF33E27AC92}" srcOrd="1" destOrd="0" presId="urn:microsoft.com/office/officeart/2005/8/layout/cycle4#1"/>
    <dgm:cxn modelId="{E521DAC7-ECB2-4073-B14F-F477C0F48F74}" type="presParOf" srcId="{57A519AD-EFBC-498D-ABFE-BDA9EE76CBFC}" destId="{96BECD3C-7863-436A-8010-EBBE48E52E3B}" srcOrd="2" destOrd="0" presId="urn:microsoft.com/office/officeart/2005/8/layout/cycle4#1"/>
    <dgm:cxn modelId="{904D2EFC-B1BB-49E1-9FBD-296BA71A09BA}" type="presParOf" srcId="{57A519AD-EFBC-498D-ABFE-BDA9EE76CBFC}" destId="{F36CC535-14B0-4C54-86DB-06537AD6E068}" srcOrd="3" destOrd="0" presId="urn:microsoft.com/office/officeart/2005/8/layout/cycle4#1"/>
    <dgm:cxn modelId="{FADD8D50-BEAA-45F6-973A-EE9428E1F181}" type="presParOf" srcId="{57A519AD-EFBC-498D-ABFE-BDA9EE76CBFC}" destId="{6BF7E1F7-DA46-474D-93C4-A6D4F6AE4D45}" srcOrd="4" destOrd="0" presId="urn:microsoft.com/office/officeart/2005/8/layout/cycle4#1"/>
    <dgm:cxn modelId="{136EA621-61F7-442B-866E-81069149FABB}" type="presParOf" srcId="{61CB73F1-D2B5-4695-A309-CBE7BE7B6896}" destId="{BFFBAA2E-423E-49CD-BA7C-2BEA4DB96F2D}" srcOrd="2" destOrd="0" presId="urn:microsoft.com/office/officeart/2005/8/layout/cycle4#1"/>
    <dgm:cxn modelId="{37CEA1FB-BC9E-405C-A136-C1ACC317A5CF}" type="presParOf" srcId="{61CB73F1-D2B5-4695-A309-CBE7BE7B6896}" destId="{20E9EC70-310F-44ED-AF1B-3A2E2706F2A3}" srcOrd="3" destOrd="0" presId="urn:microsoft.com/office/officeart/2005/8/layout/cycle4#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3DD31E-3CC4-4A85-A19B-A103D3DEA7F2}">
      <dsp:nvSpPr>
        <dsp:cNvPr id="0" name=""/>
        <dsp:cNvSpPr/>
      </dsp:nvSpPr>
      <dsp:spPr>
        <a:xfrm>
          <a:off x="3086116" y="2152807"/>
          <a:ext cx="1563951" cy="10130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NZ" sz="1000" kern="1200"/>
            <a:t>Reduced opportunity and access due to gender, ethnicity, age and disability</a:t>
          </a:r>
        </a:p>
      </dsp:txBody>
      <dsp:txXfrm>
        <a:off x="3577556" y="2428333"/>
        <a:ext cx="1050258" cy="715306"/>
      </dsp:txXfrm>
    </dsp:sp>
    <dsp:sp modelId="{E7BD27FC-1CC5-4D72-8D5E-55FA1A3C440F}">
      <dsp:nvSpPr>
        <dsp:cNvPr id="0" name=""/>
        <dsp:cNvSpPr/>
      </dsp:nvSpPr>
      <dsp:spPr>
        <a:xfrm>
          <a:off x="534406" y="2152807"/>
          <a:ext cx="1563951" cy="10130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NZ" sz="1000" kern="1200"/>
            <a:t>Diverse values, norms and ways of living are not accepted or respected</a:t>
          </a:r>
        </a:p>
      </dsp:txBody>
      <dsp:txXfrm>
        <a:off x="556660" y="2428333"/>
        <a:ext cx="1050258" cy="715306"/>
      </dsp:txXfrm>
    </dsp:sp>
    <dsp:sp modelId="{5053B9F9-9E73-4249-A33C-18965D600FE2}">
      <dsp:nvSpPr>
        <dsp:cNvPr id="0" name=""/>
        <dsp:cNvSpPr/>
      </dsp:nvSpPr>
      <dsp:spPr>
        <a:xfrm>
          <a:off x="3086116" y="0"/>
          <a:ext cx="1563951" cy="10130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NZ" sz="1000" kern="1200"/>
            <a:t>Lack of access to labour markets, credit and other capital assets </a:t>
          </a:r>
        </a:p>
      </dsp:txBody>
      <dsp:txXfrm>
        <a:off x="3577556" y="22254"/>
        <a:ext cx="1050258" cy="715306"/>
      </dsp:txXfrm>
    </dsp:sp>
    <dsp:sp modelId="{0085BE31-CC97-43DA-9050-044837E7ED91}">
      <dsp:nvSpPr>
        <dsp:cNvPr id="0" name=""/>
        <dsp:cNvSpPr/>
      </dsp:nvSpPr>
      <dsp:spPr>
        <a:xfrm>
          <a:off x="534406" y="0"/>
          <a:ext cx="1563951" cy="10130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NZ" sz="1000" kern="1200"/>
            <a:t>Denial of rights, freedom of expression and equality of opportunity</a:t>
          </a:r>
        </a:p>
      </dsp:txBody>
      <dsp:txXfrm>
        <a:off x="556660" y="22254"/>
        <a:ext cx="1050258" cy="715306"/>
      </dsp:txXfrm>
    </dsp:sp>
    <dsp:sp modelId="{8BB8999B-FABA-4E96-83DB-C2F41F69B255}">
      <dsp:nvSpPr>
        <dsp:cNvPr id="0" name=""/>
        <dsp:cNvSpPr/>
      </dsp:nvSpPr>
      <dsp:spPr>
        <a:xfrm>
          <a:off x="1189746" y="180455"/>
          <a:ext cx="1370832" cy="1370832"/>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NZ" sz="1400" b="1" kern="1200"/>
            <a:t>Political exclusion</a:t>
          </a:r>
        </a:p>
      </dsp:txBody>
      <dsp:txXfrm>
        <a:off x="1591253" y="581962"/>
        <a:ext cx="969325" cy="969325"/>
      </dsp:txXfrm>
    </dsp:sp>
    <dsp:sp modelId="{C7EF1ACC-E472-4C8E-B9E2-AAF33E27AC92}">
      <dsp:nvSpPr>
        <dsp:cNvPr id="0" name=""/>
        <dsp:cNvSpPr/>
      </dsp:nvSpPr>
      <dsp:spPr>
        <a:xfrm rot="5400000">
          <a:off x="2623896" y="180455"/>
          <a:ext cx="1370832" cy="1370832"/>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NZ" sz="1400" b="1" kern="1200"/>
            <a:t>Economic exclusion</a:t>
          </a:r>
        </a:p>
      </dsp:txBody>
      <dsp:txXfrm rot="-5400000">
        <a:off x="2623896" y="581962"/>
        <a:ext cx="969325" cy="969325"/>
      </dsp:txXfrm>
    </dsp:sp>
    <dsp:sp modelId="{96BECD3C-7863-436A-8010-EBBE48E52E3B}">
      <dsp:nvSpPr>
        <dsp:cNvPr id="0" name=""/>
        <dsp:cNvSpPr/>
      </dsp:nvSpPr>
      <dsp:spPr>
        <a:xfrm rot="10800000">
          <a:off x="2623896" y="1614605"/>
          <a:ext cx="1370832" cy="1370832"/>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NZ" sz="1400" b="1" kern="1200"/>
            <a:t>Social exclusion</a:t>
          </a:r>
        </a:p>
      </dsp:txBody>
      <dsp:txXfrm rot="10800000">
        <a:off x="2623896" y="1614605"/>
        <a:ext cx="969325" cy="969325"/>
      </dsp:txXfrm>
    </dsp:sp>
    <dsp:sp modelId="{F36CC535-14B0-4C54-86DB-06537AD6E068}">
      <dsp:nvSpPr>
        <dsp:cNvPr id="0" name=""/>
        <dsp:cNvSpPr/>
      </dsp:nvSpPr>
      <dsp:spPr>
        <a:xfrm rot="16200000">
          <a:off x="1189746" y="1614605"/>
          <a:ext cx="1370832" cy="1370832"/>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NZ" sz="1400" b="1" kern="1200"/>
            <a:t>Cultural exclusion</a:t>
          </a:r>
        </a:p>
      </dsp:txBody>
      <dsp:txXfrm rot="5400000">
        <a:off x="1591253" y="1614605"/>
        <a:ext cx="969325" cy="969325"/>
      </dsp:txXfrm>
    </dsp:sp>
    <dsp:sp modelId="{BFFBAA2E-423E-49CD-BA7C-2BEA4DB96F2D}">
      <dsp:nvSpPr>
        <dsp:cNvPr id="0" name=""/>
        <dsp:cNvSpPr/>
      </dsp:nvSpPr>
      <dsp:spPr>
        <a:xfrm>
          <a:off x="2355586" y="1298016"/>
          <a:ext cx="473301" cy="411566"/>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0E9EC70-310F-44ED-AF1B-3A2E2706F2A3}">
      <dsp:nvSpPr>
        <dsp:cNvPr id="0" name=""/>
        <dsp:cNvSpPr/>
      </dsp:nvSpPr>
      <dsp:spPr>
        <a:xfrm rot="10800000">
          <a:off x="2355586" y="1456311"/>
          <a:ext cx="473301" cy="411566"/>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DC72-7020-4DDE-A928-1224A5FE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Appleton</dc:creator>
  <cp:lastModifiedBy>Jac Lynch</cp:lastModifiedBy>
  <cp:revision>3</cp:revision>
  <cp:lastPrinted>2015-01-22T02:58:00Z</cp:lastPrinted>
  <dcterms:created xsi:type="dcterms:W3CDTF">2015-01-22T02:55:00Z</dcterms:created>
  <dcterms:modified xsi:type="dcterms:W3CDTF">2015-01-22T02:59:00Z</dcterms:modified>
</cp:coreProperties>
</file>