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47" w:rsidRDefault="00314FB4" w:rsidP="00314FB4">
      <w:pPr>
        <w:pStyle w:val="Heading1"/>
      </w:pPr>
      <w:bookmarkStart w:id="0" w:name="_GoBack"/>
      <w:bookmarkEnd w:id="0"/>
      <w:r>
        <w:t>Text version of A3: Initial stocktake of disability data sources</w:t>
      </w:r>
    </w:p>
    <w:p w:rsidR="00314FB4" w:rsidRDefault="00097B33">
      <w:r>
        <w:t xml:space="preserve">This A3 shows the main sources of New Zealand data in relation to disabled people. </w:t>
      </w:r>
    </w:p>
    <w:p w:rsidR="00097B33" w:rsidRDefault="00097B33" w:rsidP="00097B33">
      <w:r w:rsidRPr="00097B33">
        <w:t>Policy, service planning and practice (informed by social investment principles)</w:t>
      </w:r>
      <w:r>
        <w:t xml:space="preserve"> – is informed by:</w:t>
      </w:r>
    </w:p>
    <w:p w:rsidR="00097B33" w:rsidRDefault="00097B33" w:rsidP="00097B33">
      <w:r w:rsidRPr="00097B33">
        <w:t>Disability Strategy Outcomes Framework and reporting on the UNCRPD</w:t>
      </w:r>
      <w:r>
        <w:t xml:space="preserve"> – which is informed by two clusters of data: Disabled people’s experiences; and Disability-related supports and services.</w:t>
      </w:r>
    </w:p>
    <w:p w:rsidR="00097B33" w:rsidRDefault="00097B33" w:rsidP="00097B33">
      <w:r>
        <w:t>Note: Information/data in blue [with a double **] is currently included in the Integrated Data Infrastructure (IDI). Information in red [with a double XX] is in Stat NZ’s business plan for inclusion. All national surveys and government administrative data could eventually be added into the IDI.</w:t>
      </w:r>
    </w:p>
    <w:p w:rsidR="00097B33" w:rsidRPr="00097B33" w:rsidRDefault="00097B33" w:rsidP="00097B33">
      <w:r w:rsidRPr="00097B33">
        <w:rPr>
          <w:b/>
          <w:bCs/>
        </w:rPr>
        <w:t>National Surveys</w:t>
      </w:r>
      <w:r>
        <w:rPr>
          <w:b/>
          <w:bCs/>
        </w:rPr>
        <w:t xml:space="preserve"> include the following:</w:t>
      </w:r>
    </w:p>
    <w:p w:rsidR="00B91672" w:rsidRPr="00097B33" w:rsidRDefault="00097B33" w:rsidP="00097B33">
      <w:pPr>
        <w:numPr>
          <w:ilvl w:val="0"/>
          <w:numId w:val="1"/>
        </w:numPr>
      </w:pPr>
      <w:r>
        <w:rPr>
          <w:color w:val="FF0000"/>
        </w:rPr>
        <w:t xml:space="preserve">XX </w:t>
      </w:r>
      <w:r w:rsidRPr="00097B33">
        <w:rPr>
          <w:color w:val="FF0000"/>
        </w:rPr>
        <w:t>Disability Survey 2013</w:t>
      </w:r>
      <w:r>
        <w:rPr>
          <w:color w:val="FF0000"/>
        </w:rPr>
        <w:t xml:space="preserve"> </w:t>
      </w:r>
      <w:r w:rsidRPr="00097B33">
        <w:t>(every 10 years)</w:t>
      </w:r>
    </w:p>
    <w:p w:rsidR="00B91672" w:rsidRPr="00097B33" w:rsidRDefault="00097B33" w:rsidP="00097B33">
      <w:pPr>
        <w:numPr>
          <w:ilvl w:val="0"/>
          <w:numId w:val="1"/>
        </w:numPr>
      </w:pPr>
      <w:r>
        <w:rPr>
          <w:color w:val="FF0000"/>
        </w:rPr>
        <w:t xml:space="preserve">XX </w:t>
      </w:r>
      <w:r w:rsidRPr="00097B33">
        <w:rPr>
          <w:color w:val="FF0000"/>
        </w:rPr>
        <w:t xml:space="preserve">General Social Survey 2017 </w:t>
      </w:r>
      <w:r w:rsidRPr="00097B33">
        <w:t>(every 2 years)</w:t>
      </w:r>
    </w:p>
    <w:p w:rsidR="00B91672" w:rsidRPr="00097B33" w:rsidRDefault="00097B33" w:rsidP="00097B33">
      <w:pPr>
        <w:numPr>
          <w:ilvl w:val="0"/>
          <w:numId w:val="1"/>
        </w:numPr>
      </w:pPr>
      <w:r>
        <w:rPr>
          <w:color w:val="1F497D" w:themeColor="text2"/>
        </w:rPr>
        <w:t xml:space="preserve">** </w:t>
      </w:r>
      <w:r w:rsidRPr="00097B33">
        <w:rPr>
          <w:color w:val="1F497D" w:themeColor="text2"/>
        </w:rPr>
        <w:t xml:space="preserve">Household Labour Force Survey 2017 </w:t>
      </w:r>
      <w:r w:rsidRPr="00097B33">
        <w:t>(every June quarter)</w:t>
      </w:r>
    </w:p>
    <w:p w:rsidR="00B91672" w:rsidRPr="00097B33" w:rsidRDefault="00097B33" w:rsidP="00097B33">
      <w:pPr>
        <w:numPr>
          <w:ilvl w:val="0"/>
          <w:numId w:val="1"/>
        </w:numPr>
      </w:pPr>
      <w:r w:rsidRPr="00097B33">
        <w:t>Mental Health Monitor 2015, 2016, 2018</w:t>
      </w:r>
    </w:p>
    <w:p w:rsidR="00B91672" w:rsidRPr="00097B33" w:rsidRDefault="00097B33" w:rsidP="00097B33">
      <w:pPr>
        <w:numPr>
          <w:ilvl w:val="0"/>
          <w:numId w:val="1"/>
        </w:numPr>
      </w:pPr>
      <w:r>
        <w:rPr>
          <w:color w:val="1F497D" w:themeColor="text2"/>
        </w:rPr>
        <w:t xml:space="preserve">** </w:t>
      </w:r>
      <w:r w:rsidRPr="00097B33">
        <w:rPr>
          <w:color w:val="1F497D" w:themeColor="text2"/>
        </w:rPr>
        <w:t xml:space="preserve">New Zealand Health Survey </w:t>
      </w:r>
      <w:r w:rsidRPr="00097B33">
        <w:t>(continuous/annual results)</w:t>
      </w:r>
    </w:p>
    <w:p w:rsidR="00B91672" w:rsidRPr="00097B33" w:rsidRDefault="00097B33" w:rsidP="00097B33">
      <w:pPr>
        <w:numPr>
          <w:ilvl w:val="0"/>
          <w:numId w:val="1"/>
        </w:numPr>
      </w:pPr>
      <w:r w:rsidRPr="00097B33">
        <w:t>Household Travel Survey  (continuous/annual results)</w:t>
      </w:r>
    </w:p>
    <w:p w:rsidR="00B91672" w:rsidRPr="00097B33" w:rsidRDefault="00097B33" w:rsidP="00097B33">
      <w:pPr>
        <w:numPr>
          <w:ilvl w:val="0"/>
          <w:numId w:val="1"/>
        </w:numPr>
      </w:pPr>
      <w:r w:rsidRPr="00097B33">
        <w:t>Crime &amp; Victims Survey (pilot 2017, annual survey from 2018)</w:t>
      </w:r>
    </w:p>
    <w:p w:rsidR="00B91672" w:rsidRPr="00097B33" w:rsidRDefault="00097B33" w:rsidP="00097B33">
      <w:pPr>
        <w:numPr>
          <w:ilvl w:val="0"/>
          <w:numId w:val="1"/>
        </w:numPr>
      </w:pPr>
      <w:r>
        <w:rPr>
          <w:color w:val="FF0000"/>
        </w:rPr>
        <w:t xml:space="preserve">XX </w:t>
      </w:r>
      <w:r w:rsidRPr="00097B33">
        <w:rPr>
          <w:color w:val="FF0000"/>
        </w:rPr>
        <w:t xml:space="preserve">Census 2018 </w:t>
      </w:r>
      <w:r w:rsidRPr="00097B33">
        <w:t>(every 5 years)</w:t>
      </w:r>
    </w:p>
    <w:p w:rsidR="00B91672" w:rsidRDefault="00097B33" w:rsidP="00097B33">
      <w:pPr>
        <w:numPr>
          <w:ilvl w:val="0"/>
          <w:numId w:val="1"/>
        </w:numPr>
      </w:pPr>
      <w:proofErr w:type="spellStart"/>
      <w:r w:rsidRPr="00097B33">
        <w:t>Te</w:t>
      </w:r>
      <w:proofErr w:type="spellEnd"/>
      <w:r w:rsidRPr="00097B33">
        <w:t xml:space="preserve"> </w:t>
      </w:r>
      <w:proofErr w:type="spellStart"/>
      <w:r w:rsidRPr="00097B33">
        <w:t>Kupenga</w:t>
      </w:r>
      <w:proofErr w:type="spellEnd"/>
      <w:r w:rsidRPr="00097B33">
        <w:t xml:space="preserve"> 2018 (every 10 years)</w:t>
      </w:r>
      <w:r>
        <w:t>.</w:t>
      </w:r>
    </w:p>
    <w:p w:rsidR="00097B33" w:rsidRPr="00097B33" w:rsidRDefault="00097B33" w:rsidP="00097B33">
      <w:r w:rsidRPr="00097B33">
        <w:rPr>
          <w:b/>
          <w:bCs/>
        </w:rPr>
        <w:t>Time Series Reports</w:t>
      </w:r>
      <w:r>
        <w:rPr>
          <w:b/>
          <w:bCs/>
        </w:rPr>
        <w:t>, such as:</w:t>
      </w:r>
    </w:p>
    <w:p w:rsidR="00B91672" w:rsidRPr="00097B33" w:rsidRDefault="00097B33" w:rsidP="00097B33">
      <w:pPr>
        <w:numPr>
          <w:ilvl w:val="0"/>
          <w:numId w:val="2"/>
        </w:numPr>
      </w:pPr>
      <w:r w:rsidRPr="00097B33">
        <w:t xml:space="preserve">HRC: </w:t>
      </w:r>
      <w:r w:rsidRPr="00097B33">
        <w:rPr>
          <w:i/>
          <w:iCs/>
        </w:rPr>
        <w:t>Optional Protocol to the Convention against Torture annual reports</w:t>
      </w:r>
      <w:r w:rsidRPr="00097B33">
        <w:t xml:space="preserve"> since 2007/2008</w:t>
      </w:r>
    </w:p>
    <w:p w:rsidR="00B91672" w:rsidRDefault="00097B33" w:rsidP="00097B33">
      <w:pPr>
        <w:numPr>
          <w:ilvl w:val="0"/>
          <w:numId w:val="2"/>
        </w:numPr>
      </w:pPr>
      <w:r w:rsidRPr="00097B33">
        <w:t xml:space="preserve">IMM: </w:t>
      </w:r>
      <w:r w:rsidRPr="00097B33">
        <w:rPr>
          <w:i/>
          <w:iCs/>
        </w:rPr>
        <w:t xml:space="preserve">Making disability rights real </w:t>
      </w:r>
      <w:r w:rsidRPr="00097B33">
        <w:t>reports since 2011/2012</w:t>
      </w:r>
      <w:r>
        <w:t>.</w:t>
      </w:r>
    </w:p>
    <w:p w:rsidR="00097B33" w:rsidRPr="00097B33" w:rsidRDefault="00097B33" w:rsidP="00097B33">
      <w:r w:rsidRPr="00097B33">
        <w:rPr>
          <w:b/>
          <w:bCs/>
        </w:rPr>
        <w:t>Qualitative Data</w:t>
      </w:r>
      <w:r>
        <w:rPr>
          <w:b/>
          <w:bCs/>
        </w:rPr>
        <w:t>, such as:</w:t>
      </w:r>
    </w:p>
    <w:p w:rsidR="00B91672" w:rsidRPr="00097B33" w:rsidRDefault="00097B33" w:rsidP="00097B33">
      <w:pPr>
        <w:numPr>
          <w:ilvl w:val="0"/>
          <w:numId w:val="3"/>
        </w:numPr>
      </w:pPr>
      <w:r w:rsidRPr="00097B33">
        <w:t>Report on the human rights of disabled people in NZ (2010)</w:t>
      </w:r>
    </w:p>
    <w:p w:rsidR="00B91672" w:rsidRPr="00097B33" w:rsidRDefault="00097B33" w:rsidP="00097B33">
      <w:pPr>
        <w:numPr>
          <w:ilvl w:val="0"/>
          <w:numId w:val="3"/>
        </w:numPr>
      </w:pPr>
      <w:r w:rsidRPr="00097B33">
        <w:t>Disability rights in NZ (2012)</w:t>
      </w:r>
    </w:p>
    <w:p w:rsidR="00B91672" w:rsidRPr="00097B33" w:rsidRDefault="00097B33" w:rsidP="00097B33">
      <w:pPr>
        <w:numPr>
          <w:ilvl w:val="0"/>
          <w:numId w:val="3"/>
        </w:numPr>
      </w:pPr>
      <w:r w:rsidRPr="00097B33">
        <w:t>Disability rights in NZ: Youth (2013)</w:t>
      </w:r>
    </w:p>
    <w:p w:rsidR="00B91672" w:rsidRPr="00097B33" w:rsidRDefault="00097B33" w:rsidP="00097B33">
      <w:pPr>
        <w:numPr>
          <w:ilvl w:val="0"/>
          <w:numId w:val="3"/>
        </w:numPr>
      </w:pPr>
      <w:r w:rsidRPr="00097B33">
        <w:t>Disability rights in NZ: Media (2013)</w:t>
      </w:r>
    </w:p>
    <w:p w:rsidR="00B91672" w:rsidRPr="00097B33" w:rsidRDefault="00097B33" w:rsidP="00097B33">
      <w:pPr>
        <w:numPr>
          <w:ilvl w:val="0"/>
          <w:numId w:val="3"/>
        </w:numPr>
      </w:pPr>
      <w:r w:rsidRPr="00097B33">
        <w:t>Disability rights in NZ: Participation &amp; poverty (2015)</w:t>
      </w:r>
    </w:p>
    <w:p w:rsidR="00B91672" w:rsidRPr="00097B33" w:rsidRDefault="00097B33" w:rsidP="00097B33">
      <w:pPr>
        <w:numPr>
          <w:ilvl w:val="0"/>
          <w:numId w:val="3"/>
        </w:numPr>
      </w:pPr>
      <w:r w:rsidRPr="00097B33">
        <w:t>Disability rights in NZ: Acceptance in society (2015)</w:t>
      </w:r>
    </w:p>
    <w:p w:rsidR="00097B33" w:rsidRPr="00097B33" w:rsidRDefault="00097B33" w:rsidP="00097B33">
      <w:r w:rsidRPr="00097B33">
        <w:rPr>
          <w:i/>
          <w:iCs/>
        </w:rPr>
        <w:lastRenderedPageBreak/>
        <w:t>These reports are Government funded, but independently commissioned and reported on by the Disabled Peoples’ Organisations Coalition</w:t>
      </w:r>
      <w:r>
        <w:rPr>
          <w:i/>
          <w:iCs/>
        </w:rPr>
        <w:t>.</w:t>
      </w:r>
    </w:p>
    <w:p w:rsidR="00097B33" w:rsidRPr="00097B33" w:rsidRDefault="00097B33" w:rsidP="00097B33"/>
    <w:p w:rsidR="00097B33" w:rsidRDefault="00097B33" w:rsidP="00097B33">
      <w:pPr>
        <w:rPr>
          <w:b/>
          <w:bCs/>
          <w:lang w:val="en-US"/>
        </w:rPr>
      </w:pPr>
      <w:r w:rsidRPr="00097B33">
        <w:rPr>
          <w:b/>
          <w:bCs/>
          <w:lang w:val="en-US"/>
        </w:rPr>
        <w:t>Government administrative data</w:t>
      </w:r>
      <w:r>
        <w:rPr>
          <w:b/>
          <w:bCs/>
          <w:lang w:val="en-US"/>
        </w:rPr>
        <w:t xml:space="preserve"> includes:</w:t>
      </w:r>
    </w:p>
    <w:p w:rsidR="00097B33" w:rsidRPr="00097B33" w:rsidRDefault="00097B33" w:rsidP="00097B33">
      <w:r w:rsidRPr="00097B33">
        <w:rPr>
          <w:i/>
          <w:iCs/>
        </w:rPr>
        <w:t>HNZC</w:t>
      </w:r>
      <w:r>
        <w:rPr>
          <w:i/>
          <w:iCs/>
        </w:rPr>
        <w:t xml:space="preserve">: </w:t>
      </w:r>
      <w:r w:rsidRPr="00097B33">
        <w:t xml:space="preserve">Stores information about modifications to Social </w:t>
      </w:r>
      <w:proofErr w:type="gramStart"/>
      <w:r w:rsidRPr="00097B33">
        <w:t>Housing  properties</w:t>
      </w:r>
      <w:proofErr w:type="gramEnd"/>
      <w:r w:rsidRPr="00097B33">
        <w:t>.</w:t>
      </w:r>
    </w:p>
    <w:p w:rsidR="00097B33" w:rsidRPr="00097B33" w:rsidRDefault="00097B33" w:rsidP="00097B33">
      <w:r w:rsidRPr="00097B33">
        <w:rPr>
          <w:i/>
          <w:iCs/>
        </w:rPr>
        <w:t>ACC</w:t>
      </w:r>
      <w:r>
        <w:rPr>
          <w:i/>
          <w:iCs/>
        </w:rPr>
        <w:t xml:space="preserve">: </w:t>
      </w:r>
      <w:r w:rsidRPr="00097B33">
        <w:t>Stores data on injury related needs and other factors relevant to recovery, including profiling whether the client will require lifelong support.</w:t>
      </w:r>
      <w:r>
        <w:t xml:space="preserve"> </w:t>
      </w:r>
      <w:proofErr w:type="gramStart"/>
      <w:r w:rsidRPr="00097B33">
        <w:t>Clients</w:t>
      </w:r>
      <w:proofErr w:type="gramEnd"/>
      <w:r w:rsidRPr="00097B33">
        <w:t xml:space="preserve"> whose disability may not be the result of an accident or is unrelated to a brain, spinal, amputee or burns injury, are not identified in the data.</w:t>
      </w:r>
    </w:p>
    <w:p w:rsidR="00097B33" w:rsidRPr="00097B33" w:rsidRDefault="00097B33" w:rsidP="00097B33">
      <w:r w:rsidRPr="00097B33">
        <w:rPr>
          <w:i/>
          <w:iCs/>
        </w:rPr>
        <w:t>MSD</w:t>
      </w:r>
      <w:r>
        <w:rPr>
          <w:i/>
          <w:iCs/>
        </w:rPr>
        <w:t xml:space="preserve">: </w:t>
      </w:r>
      <w:r w:rsidRPr="00097B33">
        <w:t>Holds information on clients receiving:</w:t>
      </w:r>
    </w:p>
    <w:p w:rsidR="00B91672" w:rsidRPr="00097B33" w:rsidRDefault="00097B33" w:rsidP="00097B33">
      <w:pPr>
        <w:numPr>
          <w:ilvl w:val="0"/>
          <w:numId w:val="4"/>
        </w:numPr>
      </w:pPr>
      <w:r w:rsidRPr="00097B33">
        <w:t>Job Support for a health condition or disability</w:t>
      </w:r>
    </w:p>
    <w:p w:rsidR="00B91672" w:rsidRPr="00097B33" w:rsidRDefault="00097B33" w:rsidP="00097B33">
      <w:pPr>
        <w:numPr>
          <w:ilvl w:val="0"/>
          <w:numId w:val="4"/>
        </w:numPr>
      </w:pPr>
      <w:r w:rsidRPr="00097B33">
        <w:t>Supported Living Payment</w:t>
      </w:r>
    </w:p>
    <w:p w:rsidR="00B91672" w:rsidRPr="00097B33" w:rsidRDefault="00097B33" w:rsidP="00097B33">
      <w:pPr>
        <w:numPr>
          <w:ilvl w:val="0"/>
          <w:numId w:val="4"/>
        </w:numPr>
      </w:pPr>
      <w:r w:rsidRPr="00097B33">
        <w:t>Disability Allowance</w:t>
      </w:r>
    </w:p>
    <w:p w:rsidR="00097B33" w:rsidRPr="00097B33" w:rsidRDefault="00097B33" w:rsidP="00097B33">
      <w:r w:rsidRPr="00097B33">
        <w:t>Social Housing includes some information on housing needs.</w:t>
      </w:r>
    </w:p>
    <w:p w:rsidR="00097B33" w:rsidRPr="00097B33" w:rsidRDefault="00097B33" w:rsidP="00097B33">
      <w:proofErr w:type="spellStart"/>
      <w:r w:rsidRPr="00097B33">
        <w:rPr>
          <w:i/>
          <w:iCs/>
        </w:rPr>
        <w:t>MoH</w:t>
      </w:r>
      <w:proofErr w:type="spellEnd"/>
      <w:r>
        <w:rPr>
          <w:i/>
          <w:iCs/>
        </w:rPr>
        <w:t xml:space="preserve">: </w:t>
      </w:r>
      <w:r w:rsidRPr="00097B33">
        <w:t>Has various data bases with information on:</w:t>
      </w:r>
    </w:p>
    <w:p w:rsidR="00B91672" w:rsidRPr="00097B33" w:rsidRDefault="00097B33" w:rsidP="00097B33">
      <w:pPr>
        <w:numPr>
          <w:ilvl w:val="0"/>
          <w:numId w:val="5"/>
        </w:numPr>
      </w:pPr>
      <w:r w:rsidRPr="00097B33">
        <w:t>providers of Health &amp; Disability Services</w:t>
      </w:r>
    </w:p>
    <w:p w:rsidR="00B91672" w:rsidRPr="00097B33" w:rsidRDefault="00097B33" w:rsidP="00097B33">
      <w:pPr>
        <w:numPr>
          <w:ilvl w:val="0"/>
          <w:numId w:val="5"/>
        </w:numPr>
      </w:pPr>
      <w:r w:rsidRPr="00097B33">
        <w:t>delivery of hospital inpatient and day-patient health services, including by disability</w:t>
      </w:r>
    </w:p>
    <w:p w:rsidR="00B91672" w:rsidRPr="00097B33" w:rsidRDefault="00097B33" w:rsidP="00097B33">
      <w:pPr>
        <w:numPr>
          <w:ilvl w:val="0"/>
          <w:numId w:val="5"/>
        </w:numPr>
      </w:pPr>
      <w:r w:rsidRPr="00097B33">
        <w:t xml:space="preserve">Disability Support Services clients </w:t>
      </w:r>
    </w:p>
    <w:p w:rsidR="00B91672" w:rsidRPr="00097B33" w:rsidRDefault="00097B33" w:rsidP="00097B33">
      <w:pPr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 xml:space="preserve">** </w:t>
      </w:r>
      <w:r w:rsidRPr="00097B33">
        <w:rPr>
          <w:color w:val="1F497D" w:themeColor="text2"/>
        </w:rPr>
        <w:t xml:space="preserve">services to non-admitted patients </w:t>
      </w:r>
    </w:p>
    <w:p w:rsidR="00B91672" w:rsidRPr="00097B33" w:rsidRDefault="00097B33" w:rsidP="00097B33">
      <w:pPr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 xml:space="preserve">** </w:t>
      </w:r>
      <w:r w:rsidRPr="00097B33">
        <w:rPr>
          <w:color w:val="1F497D" w:themeColor="text2"/>
        </w:rPr>
        <w:t>claims and payment information for pharmaceuticals</w:t>
      </w:r>
    </w:p>
    <w:p w:rsidR="00B91672" w:rsidRPr="00097B33" w:rsidRDefault="00097B33" w:rsidP="00097B33">
      <w:pPr>
        <w:numPr>
          <w:ilvl w:val="0"/>
          <w:numId w:val="5"/>
        </w:numPr>
      </w:pPr>
      <w:r w:rsidRPr="00097B33">
        <w:t>Mental health services and outcomes achieved for consumers</w:t>
      </w:r>
    </w:p>
    <w:p w:rsidR="00B91672" w:rsidRPr="00097B33" w:rsidRDefault="00097B33" w:rsidP="00097B33">
      <w:pPr>
        <w:numPr>
          <w:ilvl w:val="0"/>
          <w:numId w:val="5"/>
        </w:numPr>
      </w:pPr>
      <w:r w:rsidRPr="00097B33">
        <w:t>deafness notification data (from 2010)</w:t>
      </w:r>
    </w:p>
    <w:p w:rsidR="00097B33" w:rsidRPr="00097B33" w:rsidRDefault="00097B33" w:rsidP="00097B33">
      <w:proofErr w:type="spellStart"/>
      <w:r w:rsidRPr="00097B33">
        <w:rPr>
          <w:i/>
          <w:iCs/>
        </w:rPr>
        <w:t>MoE</w:t>
      </w:r>
      <w:proofErr w:type="spellEnd"/>
      <w:r>
        <w:rPr>
          <w:i/>
          <w:iCs/>
        </w:rPr>
        <w:t xml:space="preserve">: </w:t>
      </w:r>
      <w:r w:rsidRPr="00097B33">
        <w:t>Holds data on:</w:t>
      </w:r>
    </w:p>
    <w:p w:rsidR="00B91672" w:rsidRPr="00097B33" w:rsidRDefault="00097B33" w:rsidP="00097B33">
      <w:pPr>
        <w:numPr>
          <w:ilvl w:val="0"/>
          <w:numId w:val="6"/>
        </w:numPr>
      </w:pPr>
      <w:r w:rsidRPr="00097B33">
        <w:t xml:space="preserve">The Ongoing Resourcing Scheme </w:t>
      </w:r>
    </w:p>
    <w:p w:rsidR="00B91672" w:rsidRPr="00097B33" w:rsidRDefault="00097B33" w:rsidP="00097B33">
      <w:pPr>
        <w:numPr>
          <w:ilvl w:val="0"/>
          <w:numId w:val="6"/>
        </w:numPr>
      </w:pPr>
      <w:r w:rsidRPr="00097B33">
        <w:t>Students who receive a specialist education service</w:t>
      </w:r>
    </w:p>
    <w:p w:rsidR="00B91672" w:rsidRPr="00097B33" w:rsidRDefault="00097B33" w:rsidP="00097B33">
      <w:pPr>
        <w:numPr>
          <w:ilvl w:val="0"/>
          <w:numId w:val="6"/>
        </w:numPr>
      </w:pPr>
      <w:r w:rsidRPr="00097B33">
        <w:t>Resource Teacher Learning &amp; Behaviour (provides support to students in years 1-10 with learning and/or behavioural difficulties)</w:t>
      </w:r>
    </w:p>
    <w:p w:rsidR="00B91672" w:rsidRPr="00097B33" w:rsidRDefault="00097B33" w:rsidP="00097B33">
      <w:pPr>
        <w:numPr>
          <w:ilvl w:val="0"/>
          <w:numId w:val="6"/>
        </w:numPr>
      </w:pPr>
      <w:r w:rsidRPr="00097B33">
        <w:t>Students’ NCEA qualifications and school engagement (eg suspensions)</w:t>
      </w:r>
    </w:p>
    <w:p w:rsidR="00314FB4" w:rsidRDefault="00097B33" w:rsidP="00097B33">
      <w:pPr>
        <w:numPr>
          <w:ilvl w:val="0"/>
          <w:numId w:val="6"/>
        </w:numPr>
      </w:pPr>
      <w:r w:rsidRPr="00097B33">
        <w:t>Tertiary students who’ve self-reported disability at enrolment.</w:t>
      </w:r>
    </w:p>
    <w:sectPr w:rsidR="00314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3C65"/>
    <w:multiLevelType w:val="hybridMultilevel"/>
    <w:tmpl w:val="475C01C0"/>
    <w:lvl w:ilvl="0" w:tplc="7682C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6D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45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A9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C2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23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A3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A8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28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5D058E"/>
    <w:multiLevelType w:val="hybridMultilevel"/>
    <w:tmpl w:val="AAD07BD0"/>
    <w:lvl w:ilvl="0" w:tplc="72801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6D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69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21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27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49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A7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ED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3CE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9666AE"/>
    <w:multiLevelType w:val="hybridMultilevel"/>
    <w:tmpl w:val="FFACF08A"/>
    <w:lvl w:ilvl="0" w:tplc="77DEE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7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E4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83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84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305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4A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42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43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9A18C9"/>
    <w:multiLevelType w:val="hybridMultilevel"/>
    <w:tmpl w:val="00925888"/>
    <w:lvl w:ilvl="0" w:tplc="B5784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8F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21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62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40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4CA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61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C3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28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9894CBB"/>
    <w:multiLevelType w:val="hybridMultilevel"/>
    <w:tmpl w:val="DFE4C4FE"/>
    <w:lvl w:ilvl="0" w:tplc="CE541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E5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49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4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E1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21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C9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4A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8C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931016E"/>
    <w:multiLevelType w:val="hybridMultilevel"/>
    <w:tmpl w:val="114E5794"/>
    <w:lvl w:ilvl="0" w:tplc="1F242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A8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06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26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6F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A8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80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2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8F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B4"/>
    <w:rsid w:val="00097B33"/>
    <w:rsid w:val="00314FB4"/>
    <w:rsid w:val="004972A8"/>
    <w:rsid w:val="005E7647"/>
    <w:rsid w:val="00611AC4"/>
    <w:rsid w:val="00B33F19"/>
    <w:rsid w:val="00B9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69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5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78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03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18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90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51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2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30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97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9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4646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472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7922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764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86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7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848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104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516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18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91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95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2171">
          <w:marLeft w:val="274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436">
          <w:marLeft w:val="274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7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63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96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94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30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75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84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Dickey</dc:creator>
  <cp:lastModifiedBy>Catherine Brennan</cp:lastModifiedBy>
  <cp:revision>2</cp:revision>
  <dcterms:created xsi:type="dcterms:W3CDTF">2017-11-07T20:52:00Z</dcterms:created>
  <dcterms:modified xsi:type="dcterms:W3CDTF">2017-11-07T20:52:00Z</dcterms:modified>
</cp:coreProperties>
</file>