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4F52B" w14:textId="48A4BFC3" w:rsidR="00386210" w:rsidRDefault="00DB427A" w:rsidP="00386210">
      <w:pPr>
        <w:rPr>
          <w:rFonts w:ascii="Georgia" w:eastAsiaTheme="majorEastAsia" w:hAnsi="Georgia"/>
          <w:b/>
          <w:bCs/>
          <w:color w:val="121F6B"/>
          <w:kern w:val="0"/>
          <w:sz w:val="32"/>
          <w:szCs w:val="28"/>
          <w:lang w:val="en-NZ"/>
        </w:rPr>
      </w:pPr>
      <w:r w:rsidRPr="00187357">
        <w:rPr>
          <w:rFonts w:ascii="Georgia" w:hAnsi="Georgia"/>
          <w:b/>
          <w:noProof/>
          <w:color w:val="FFFFFF" w:themeColor="background1"/>
          <w:sz w:val="96"/>
          <w:lang w:val="en-NZ" w:eastAsia="en-NZ"/>
          <w14:shadow w14:blurRad="647700" w14:dist="165100" w14:dir="2700000" w14:sx="101000" w14:sy="101000" w14:kx="0" w14:ky="0" w14:algn="tl">
            <w14:srgbClr w14:val="000000"/>
          </w14:shadow>
        </w:rPr>
        <w:drawing>
          <wp:inline distT="0" distB="0" distL="0" distR="0" wp14:anchorId="624604E4" wp14:editId="7C92A2B9">
            <wp:extent cx="3071495" cy="904875"/>
            <wp:effectExtent l="0" t="0" r="0" b="0"/>
            <wp:docPr id="2" name="Picture 2" descr="Logo Ministry of Social Development Te Manatuu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ssi.govt.nz\usersm\mjohn034\Desktop\MSD_30mmBELOW_CMYK (2).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71495" cy="904875"/>
                    </a:xfrm>
                    <a:prstGeom prst="rect">
                      <a:avLst/>
                    </a:prstGeom>
                    <a:noFill/>
                    <a:ln>
                      <a:noFill/>
                    </a:ln>
                  </pic:spPr>
                </pic:pic>
              </a:graphicData>
            </a:graphic>
          </wp:inline>
        </w:drawing>
      </w:r>
    </w:p>
    <w:p w14:paraId="75E940CE" w14:textId="77777777" w:rsidR="00386210" w:rsidRDefault="00386210" w:rsidP="00386210">
      <w:pPr>
        <w:rPr>
          <w:rFonts w:ascii="Georgia" w:eastAsiaTheme="majorEastAsia" w:hAnsi="Georgia"/>
          <w:b/>
          <w:bCs/>
          <w:color w:val="121F6B"/>
          <w:kern w:val="0"/>
          <w:sz w:val="32"/>
          <w:szCs w:val="28"/>
          <w:lang w:val="en-NZ"/>
        </w:rPr>
      </w:pPr>
    </w:p>
    <w:p w14:paraId="02CC9338" w14:textId="77777777" w:rsidR="00386210" w:rsidRDefault="00386210" w:rsidP="00386210">
      <w:pPr>
        <w:rPr>
          <w:rFonts w:ascii="Georgia" w:eastAsiaTheme="majorEastAsia" w:hAnsi="Georgia"/>
          <w:b/>
          <w:bCs/>
          <w:color w:val="121F6B"/>
          <w:kern w:val="0"/>
          <w:sz w:val="32"/>
          <w:szCs w:val="28"/>
          <w:lang w:val="en-NZ"/>
        </w:rPr>
      </w:pPr>
    </w:p>
    <w:p w14:paraId="7974C655" w14:textId="77777777" w:rsidR="00386210" w:rsidRDefault="00386210" w:rsidP="00386210">
      <w:pPr>
        <w:rPr>
          <w:rFonts w:ascii="Georgia" w:eastAsiaTheme="majorEastAsia" w:hAnsi="Georgia"/>
          <w:b/>
          <w:bCs/>
          <w:color w:val="121F6B"/>
          <w:kern w:val="0"/>
          <w:sz w:val="32"/>
          <w:szCs w:val="28"/>
          <w:lang w:val="en-NZ"/>
        </w:rPr>
      </w:pPr>
    </w:p>
    <w:p w14:paraId="72D3A579" w14:textId="7D3871DA" w:rsidR="00386210" w:rsidRPr="00386210" w:rsidRDefault="00386210" w:rsidP="00386210">
      <w:pPr>
        <w:rPr>
          <w:sz w:val="36"/>
        </w:rPr>
      </w:pPr>
      <w:r w:rsidRPr="00386210">
        <w:rPr>
          <w:sz w:val="36"/>
        </w:rPr>
        <w:t>Briefing to the Incoming Minister</w:t>
      </w:r>
    </w:p>
    <w:p w14:paraId="3C7FFFAE" w14:textId="77777777" w:rsidR="00386210" w:rsidRPr="00386210" w:rsidRDefault="00386210" w:rsidP="00386210">
      <w:pPr>
        <w:jc w:val="center"/>
        <w:rPr>
          <w:sz w:val="118"/>
          <w:szCs w:val="120"/>
        </w:rPr>
      </w:pPr>
      <w:r w:rsidRPr="00386210">
        <w:rPr>
          <w:sz w:val="118"/>
          <w:szCs w:val="120"/>
        </w:rPr>
        <w:t>Disability Issues</w:t>
      </w:r>
    </w:p>
    <w:p w14:paraId="15807F45" w14:textId="4770D112" w:rsidR="00386210" w:rsidRDefault="00386210" w:rsidP="00386210">
      <w:pPr>
        <w:rPr>
          <w:sz w:val="36"/>
        </w:rPr>
      </w:pPr>
      <w:r w:rsidRPr="00386210">
        <w:rPr>
          <w:sz w:val="36"/>
        </w:rPr>
        <w:t>2020</w:t>
      </w:r>
    </w:p>
    <w:p w14:paraId="4E118631" w14:textId="77777777" w:rsidR="00386210" w:rsidRDefault="00386210">
      <w:pPr>
        <w:spacing w:after="0" w:line="240" w:lineRule="auto"/>
        <w:rPr>
          <w:sz w:val="36"/>
        </w:rPr>
      </w:pPr>
      <w:r>
        <w:rPr>
          <w:sz w:val="36"/>
        </w:rPr>
        <w:br w:type="page"/>
      </w:r>
    </w:p>
    <w:p w14:paraId="7AF4B3C7" w14:textId="4C9F5199" w:rsidR="008034F7" w:rsidRPr="008034F7" w:rsidRDefault="008034F7" w:rsidP="008034F7">
      <w:pPr>
        <w:pStyle w:val="Bodyintrotext"/>
        <w:rPr>
          <w:rFonts w:cs="National Semibold"/>
          <w:b/>
          <w:color w:val="auto"/>
          <w:sz w:val="24"/>
          <w:szCs w:val="24"/>
        </w:rPr>
      </w:pPr>
      <w:bookmarkStart w:id="0" w:name="_Hlk51579547"/>
      <w:r w:rsidRPr="008034F7">
        <w:rPr>
          <w:rFonts w:cs="National Semibold"/>
          <w:b/>
          <w:color w:val="auto"/>
          <w:sz w:val="24"/>
          <w:szCs w:val="24"/>
        </w:rPr>
        <w:lastRenderedPageBreak/>
        <w:t>24% (1.1m)</w:t>
      </w:r>
      <w:r>
        <w:rPr>
          <w:rFonts w:cs="National Semibold"/>
          <w:b/>
          <w:color w:val="auto"/>
          <w:sz w:val="24"/>
          <w:szCs w:val="24"/>
        </w:rPr>
        <w:t xml:space="preserve"> </w:t>
      </w:r>
      <w:r w:rsidRPr="008034F7">
        <w:rPr>
          <w:color w:val="auto"/>
          <w:sz w:val="24"/>
          <w:szCs w:val="24"/>
        </w:rPr>
        <w:t xml:space="preserve">of New Zealanders are disabled </w:t>
      </w:r>
      <w:bookmarkStart w:id="1" w:name="_Hlk51588612"/>
      <w:r w:rsidRPr="008034F7">
        <w:rPr>
          <w:color w:val="auto"/>
          <w:sz w:val="24"/>
          <w:szCs w:val="24"/>
        </w:rPr>
        <w:t>[2013 Census]</w:t>
      </w:r>
      <w:bookmarkEnd w:id="0"/>
      <w:bookmarkEnd w:id="1"/>
      <w:r>
        <w:rPr>
          <w:color w:val="auto"/>
          <w:sz w:val="24"/>
          <w:szCs w:val="24"/>
        </w:rPr>
        <w:t>.</w:t>
      </w:r>
    </w:p>
    <w:p w14:paraId="3804E978" w14:textId="39E8E846" w:rsidR="00386210" w:rsidRPr="008034F7" w:rsidRDefault="00386210" w:rsidP="00386210">
      <w:pPr>
        <w:pStyle w:val="Graphicdetail"/>
        <w:jc w:val="left"/>
        <w:rPr>
          <w:color w:val="auto"/>
          <w:sz w:val="24"/>
          <w:szCs w:val="24"/>
        </w:rPr>
      </w:pPr>
      <w:r w:rsidRPr="008034F7">
        <w:rPr>
          <w:color w:val="auto"/>
          <w:sz w:val="24"/>
          <w:szCs w:val="24"/>
        </w:rPr>
        <w:t>The Minister for Disability Issues leads and advises across government on behalf of disabled New Zealanders, to ensure government services and policy consider their needs and interests. Promising progress is seen in employment and wellbeing but there is still much to do.</w:t>
      </w:r>
    </w:p>
    <w:p w14:paraId="0F2F869F" w14:textId="77777777" w:rsidR="00386210" w:rsidRPr="00386210" w:rsidRDefault="00386210" w:rsidP="00386210">
      <w:pPr>
        <w:rPr>
          <w:rFonts w:cs="National Light"/>
          <w:sz w:val="18"/>
          <w:szCs w:val="18"/>
          <w:lang w:val="mi-NZ"/>
        </w:rPr>
      </w:pPr>
      <w:bookmarkStart w:id="2" w:name="_Hlk51588593"/>
      <w:bookmarkStart w:id="3" w:name="_Hlk51588594"/>
    </w:p>
    <w:p w14:paraId="4894A232" w14:textId="7FA24DB9" w:rsidR="00386210" w:rsidRPr="008034F7" w:rsidRDefault="00386210" w:rsidP="00386210">
      <w:pPr>
        <w:rPr>
          <w:rFonts w:cs="National Light"/>
          <w:sz w:val="24"/>
          <w:szCs w:val="24"/>
          <w:lang w:val="mi-NZ"/>
        </w:rPr>
      </w:pPr>
      <w:r w:rsidRPr="008034F7">
        <w:rPr>
          <w:rFonts w:cs="National Light"/>
          <w:sz w:val="24"/>
          <w:szCs w:val="24"/>
          <w:lang w:val="mi-NZ"/>
        </w:rPr>
        <w:t>The following data is from the Household Labour Force Survey, June 2020</w:t>
      </w:r>
      <w:bookmarkEnd w:id="2"/>
      <w:bookmarkEnd w:id="3"/>
    </w:p>
    <w:p w14:paraId="6A536418" w14:textId="40734C5B" w:rsidR="00386210" w:rsidRPr="00386210" w:rsidRDefault="00386210" w:rsidP="00386210">
      <w:pPr>
        <w:rPr>
          <w:rFonts w:cs="National Light"/>
          <w:sz w:val="18"/>
          <w:szCs w:val="18"/>
          <w:lang w:val="mi-NZ"/>
        </w:rPr>
      </w:pPr>
    </w:p>
    <w:p w14:paraId="518DED91" w14:textId="3625D564" w:rsidR="00386210" w:rsidRPr="00386210" w:rsidRDefault="00386210" w:rsidP="00386210">
      <w:pPr>
        <w:pStyle w:val="BodyNormal"/>
        <w:rPr>
          <w:rFonts w:ascii="Verdana" w:hAnsi="Verdana" w:cs="National Light"/>
          <w:b/>
          <w:color w:val="auto"/>
          <w:sz w:val="24"/>
          <w:szCs w:val="24"/>
        </w:rPr>
      </w:pPr>
      <w:r w:rsidRPr="00386210">
        <w:rPr>
          <w:rFonts w:ascii="Verdana" w:hAnsi="Verdana" w:cs="National Light"/>
          <w:b/>
          <w:color w:val="auto"/>
          <w:sz w:val="24"/>
          <w:szCs w:val="24"/>
        </w:rPr>
        <w:t>Among disabled people aged 18-64</w:t>
      </w:r>
      <w:r w:rsidRPr="00386210">
        <w:rPr>
          <w:rFonts w:ascii="Verdana" w:hAnsi="Verdana" w:cs="National Light"/>
          <w:b/>
          <w:color w:val="auto"/>
          <w:sz w:val="24"/>
          <w:szCs w:val="24"/>
        </w:rPr>
        <w:t>:</w:t>
      </w:r>
    </w:p>
    <w:p w14:paraId="2C6C14D0" w14:textId="21E0677D" w:rsidR="00386210" w:rsidRPr="008034F7" w:rsidRDefault="00386210" w:rsidP="00386210">
      <w:pPr>
        <w:pStyle w:val="Bodycentred"/>
        <w:numPr>
          <w:ilvl w:val="0"/>
          <w:numId w:val="33"/>
        </w:numPr>
        <w:jc w:val="left"/>
        <w:rPr>
          <w:rFonts w:ascii="Verdana" w:hAnsi="Verdana" w:cs="National Semibold"/>
          <w:b/>
          <w:color w:val="auto"/>
          <w:sz w:val="24"/>
          <w:szCs w:val="24"/>
        </w:rPr>
      </w:pPr>
      <w:r w:rsidRPr="008034F7">
        <w:rPr>
          <w:rFonts w:ascii="Verdana" w:hAnsi="Verdana" w:cs="National Semibold"/>
          <w:b/>
          <w:color w:val="auto"/>
          <w:sz w:val="24"/>
          <w:szCs w:val="24"/>
        </w:rPr>
        <w:t>23%</w:t>
      </w:r>
      <w:r w:rsidRPr="008034F7">
        <w:rPr>
          <w:rFonts w:ascii="Verdana" w:hAnsi="Verdana" w:cs="National Semibold"/>
          <w:b/>
          <w:color w:val="auto"/>
          <w:sz w:val="24"/>
          <w:szCs w:val="24"/>
        </w:rPr>
        <w:t xml:space="preserve"> </w:t>
      </w:r>
      <w:r w:rsidRPr="008034F7">
        <w:rPr>
          <w:rFonts w:ascii="Verdana" w:hAnsi="Verdana"/>
          <w:color w:val="auto"/>
          <w:sz w:val="24"/>
          <w:szCs w:val="24"/>
        </w:rPr>
        <w:t>reported not having enough money to meet every</w:t>
      </w:r>
      <w:r w:rsidR="008034F7">
        <w:rPr>
          <w:rFonts w:ascii="Verdana" w:hAnsi="Verdana"/>
          <w:color w:val="auto"/>
          <w:sz w:val="24"/>
          <w:szCs w:val="24"/>
        </w:rPr>
        <w:t>-</w:t>
      </w:r>
      <w:r w:rsidRPr="008034F7">
        <w:rPr>
          <w:rFonts w:ascii="Verdana" w:hAnsi="Verdana"/>
          <w:color w:val="auto"/>
          <w:sz w:val="24"/>
          <w:szCs w:val="24"/>
        </w:rPr>
        <w:t xml:space="preserve">day needs </w:t>
      </w:r>
      <w:r w:rsidRPr="008034F7">
        <w:rPr>
          <w:rFonts w:ascii="Verdana" w:hAnsi="Verdana"/>
          <w:color w:val="auto"/>
          <w:sz w:val="24"/>
          <w:szCs w:val="24"/>
        </w:rPr>
        <w:br/>
      </w:r>
      <w:r w:rsidRPr="008034F7">
        <w:rPr>
          <w:rFonts w:ascii="Verdana" w:hAnsi="Verdana"/>
          <w:color w:val="auto"/>
          <w:sz w:val="24"/>
          <w:szCs w:val="24"/>
        </w:rPr>
        <w:t xml:space="preserve">(7% for non-disabled people) </w:t>
      </w:r>
    </w:p>
    <w:p w14:paraId="0CF7DB96" w14:textId="77777777" w:rsidR="00386210" w:rsidRPr="008034F7" w:rsidRDefault="00386210" w:rsidP="00386210">
      <w:pPr>
        <w:pStyle w:val="Bodycentred"/>
        <w:numPr>
          <w:ilvl w:val="0"/>
          <w:numId w:val="33"/>
        </w:numPr>
        <w:jc w:val="left"/>
        <w:rPr>
          <w:rFonts w:ascii="Verdana" w:hAnsi="Verdana" w:cs="National Semibold"/>
          <w:b/>
          <w:color w:val="auto"/>
          <w:sz w:val="24"/>
          <w:szCs w:val="24"/>
        </w:rPr>
      </w:pPr>
      <w:r w:rsidRPr="008034F7">
        <w:rPr>
          <w:rFonts w:ascii="Verdana" w:hAnsi="Verdana" w:cs="National Semibold"/>
          <w:b/>
          <w:color w:val="auto"/>
          <w:sz w:val="24"/>
          <w:szCs w:val="24"/>
        </w:rPr>
        <w:t>30%</w:t>
      </w:r>
      <w:r w:rsidRPr="008034F7">
        <w:rPr>
          <w:rFonts w:ascii="Verdana" w:hAnsi="Verdana" w:cs="National Semibold"/>
          <w:b/>
          <w:color w:val="auto"/>
          <w:sz w:val="24"/>
          <w:szCs w:val="24"/>
        </w:rPr>
        <w:t xml:space="preserve"> </w:t>
      </w:r>
      <w:r w:rsidRPr="008034F7">
        <w:rPr>
          <w:rFonts w:ascii="Verdana" w:hAnsi="Verdana"/>
          <w:color w:val="auto"/>
          <w:sz w:val="24"/>
          <w:szCs w:val="24"/>
        </w:rPr>
        <w:t xml:space="preserve">experienced discrimination within the last 12 months </w:t>
      </w:r>
      <w:r w:rsidRPr="008034F7">
        <w:rPr>
          <w:rFonts w:ascii="Verdana" w:hAnsi="Verdana"/>
          <w:color w:val="auto"/>
          <w:sz w:val="24"/>
          <w:szCs w:val="24"/>
        </w:rPr>
        <w:br/>
      </w:r>
      <w:r w:rsidRPr="008034F7">
        <w:rPr>
          <w:rFonts w:ascii="Verdana" w:hAnsi="Verdana"/>
          <w:color w:val="auto"/>
          <w:sz w:val="24"/>
          <w:szCs w:val="24"/>
        </w:rPr>
        <w:t>(19% for non-disabled people)</w:t>
      </w:r>
    </w:p>
    <w:p w14:paraId="3AE1C583" w14:textId="77777777" w:rsidR="00386210" w:rsidRPr="008034F7" w:rsidRDefault="00386210" w:rsidP="00386210">
      <w:pPr>
        <w:pStyle w:val="Bodycentred"/>
        <w:numPr>
          <w:ilvl w:val="0"/>
          <w:numId w:val="33"/>
        </w:numPr>
        <w:jc w:val="left"/>
        <w:rPr>
          <w:rFonts w:ascii="Verdana" w:hAnsi="Verdana" w:cs="National Semibold"/>
          <w:b/>
          <w:color w:val="auto"/>
          <w:sz w:val="24"/>
          <w:szCs w:val="24"/>
        </w:rPr>
      </w:pPr>
      <w:r w:rsidRPr="008034F7">
        <w:rPr>
          <w:rFonts w:ascii="Verdana" w:hAnsi="Verdana" w:cs="National Semibold"/>
          <w:b/>
          <w:color w:val="auto"/>
          <w:sz w:val="24"/>
          <w:szCs w:val="24"/>
        </w:rPr>
        <w:t>16%</w:t>
      </w:r>
      <w:r w:rsidRPr="008034F7">
        <w:rPr>
          <w:rFonts w:ascii="Verdana" w:hAnsi="Verdana" w:cs="National Semibold"/>
          <w:b/>
          <w:color w:val="auto"/>
          <w:sz w:val="24"/>
          <w:szCs w:val="24"/>
        </w:rPr>
        <w:t xml:space="preserve"> </w:t>
      </w:r>
      <w:r w:rsidRPr="008034F7">
        <w:rPr>
          <w:rFonts w:ascii="Verdana" w:hAnsi="Verdana"/>
          <w:color w:val="auto"/>
          <w:sz w:val="24"/>
          <w:szCs w:val="24"/>
        </w:rPr>
        <w:t xml:space="preserve">reported having a house/flat with a major problem with heating </w:t>
      </w:r>
      <w:r w:rsidRPr="008034F7">
        <w:rPr>
          <w:rFonts w:ascii="Verdana" w:hAnsi="Verdana"/>
          <w:color w:val="auto"/>
          <w:sz w:val="24"/>
          <w:szCs w:val="24"/>
        </w:rPr>
        <w:br/>
      </w:r>
      <w:r w:rsidRPr="008034F7">
        <w:rPr>
          <w:rFonts w:ascii="Verdana" w:hAnsi="Verdana"/>
          <w:color w:val="auto"/>
          <w:sz w:val="24"/>
          <w:szCs w:val="24"/>
        </w:rPr>
        <w:t xml:space="preserve">(6% for non-disabled people) </w:t>
      </w:r>
    </w:p>
    <w:p w14:paraId="710887AA" w14:textId="77777777" w:rsidR="00386210" w:rsidRPr="008034F7" w:rsidRDefault="00386210" w:rsidP="00386210">
      <w:pPr>
        <w:pStyle w:val="Bodycentred"/>
        <w:numPr>
          <w:ilvl w:val="0"/>
          <w:numId w:val="33"/>
        </w:numPr>
        <w:jc w:val="left"/>
        <w:rPr>
          <w:rFonts w:ascii="Verdana" w:hAnsi="Verdana" w:cs="National Semibold"/>
          <w:b/>
          <w:color w:val="auto"/>
          <w:sz w:val="24"/>
          <w:szCs w:val="24"/>
        </w:rPr>
      </w:pPr>
      <w:r w:rsidRPr="008034F7">
        <w:rPr>
          <w:rFonts w:ascii="Verdana" w:hAnsi="Verdana" w:cs="National Semibold"/>
          <w:b/>
          <w:color w:val="auto"/>
          <w:sz w:val="24"/>
          <w:szCs w:val="24"/>
        </w:rPr>
        <w:t>39%</w:t>
      </w:r>
      <w:r w:rsidRPr="008034F7">
        <w:rPr>
          <w:rFonts w:ascii="Verdana" w:hAnsi="Verdana" w:cs="National Semibold"/>
          <w:b/>
          <w:color w:val="auto"/>
          <w:sz w:val="24"/>
          <w:szCs w:val="24"/>
        </w:rPr>
        <w:t xml:space="preserve"> </w:t>
      </w:r>
      <w:r w:rsidRPr="008034F7">
        <w:rPr>
          <w:rFonts w:ascii="Verdana" w:hAnsi="Verdana"/>
          <w:color w:val="auto"/>
          <w:sz w:val="24"/>
          <w:szCs w:val="24"/>
        </w:rPr>
        <w:t>of disabled people aged 18+ have no qualification</w:t>
      </w:r>
      <w:r w:rsidRPr="008034F7">
        <w:rPr>
          <w:rFonts w:ascii="Verdana" w:hAnsi="Verdana"/>
          <w:color w:val="auto"/>
          <w:sz w:val="24"/>
          <w:szCs w:val="24"/>
        </w:rPr>
        <w:t xml:space="preserve"> </w:t>
      </w:r>
      <w:r w:rsidRPr="008034F7">
        <w:rPr>
          <w:rFonts w:ascii="Verdana" w:hAnsi="Verdana"/>
          <w:color w:val="auto"/>
          <w:sz w:val="24"/>
          <w:szCs w:val="24"/>
        </w:rPr>
        <w:t xml:space="preserve">(16% for non-disabled people) </w:t>
      </w:r>
    </w:p>
    <w:p w14:paraId="7BFA9479" w14:textId="77777777" w:rsidR="00386210" w:rsidRPr="008034F7" w:rsidRDefault="00386210" w:rsidP="00386210">
      <w:pPr>
        <w:pStyle w:val="Bodycentred"/>
        <w:numPr>
          <w:ilvl w:val="0"/>
          <w:numId w:val="33"/>
        </w:numPr>
        <w:jc w:val="left"/>
        <w:rPr>
          <w:rFonts w:ascii="Verdana" w:hAnsi="Verdana" w:cs="National Semibold"/>
          <w:b/>
          <w:color w:val="auto"/>
          <w:sz w:val="24"/>
          <w:szCs w:val="24"/>
        </w:rPr>
      </w:pPr>
      <w:r w:rsidRPr="008034F7">
        <w:rPr>
          <w:rFonts w:ascii="Verdana" w:hAnsi="Verdana" w:cs="National Semibold"/>
          <w:b/>
          <w:color w:val="auto"/>
          <w:sz w:val="24"/>
          <w:szCs w:val="24"/>
        </w:rPr>
        <w:t>65%</w:t>
      </w:r>
      <w:r w:rsidRPr="008034F7">
        <w:rPr>
          <w:rFonts w:ascii="Verdana" w:hAnsi="Verdana" w:cs="National Semibold"/>
          <w:b/>
          <w:color w:val="auto"/>
          <w:sz w:val="24"/>
          <w:szCs w:val="24"/>
        </w:rPr>
        <w:t xml:space="preserve"> </w:t>
      </w:r>
      <w:r w:rsidRPr="008034F7">
        <w:rPr>
          <w:rFonts w:ascii="Verdana" w:hAnsi="Verdana"/>
          <w:color w:val="auto"/>
          <w:sz w:val="24"/>
          <w:szCs w:val="24"/>
        </w:rPr>
        <w:t>of disabled people aged 18+ held trust in the health system (a rating of 7 and above), up from 55% in 2018</w:t>
      </w:r>
    </w:p>
    <w:p w14:paraId="195EB8E9" w14:textId="16F451C7" w:rsidR="00386210" w:rsidRPr="008034F7" w:rsidRDefault="00386210" w:rsidP="00386210">
      <w:pPr>
        <w:pStyle w:val="Bodycentred"/>
        <w:numPr>
          <w:ilvl w:val="0"/>
          <w:numId w:val="33"/>
        </w:numPr>
        <w:jc w:val="left"/>
        <w:rPr>
          <w:rFonts w:ascii="Verdana" w:hAnsi="Verdana" w:cs="National Semibold"/>
          <w:b/>
          <w:color w:val="auto"/>
          <w:sz w:val="24"/>
          <w:szCs w:val="24"/>
        </w:rPr>
      </w:pPr>
      <w:r w:rsidRPr="008034F7">
        <w:rPr>
          <w:rFonts w:ascii="Verdana" w:hAnsi="Verdana" w:cs="National Semibold"/>
          <w:b/>
          <w:color w:val="auto"/>
          <w:sz w:val="24"/>
          <w:szCs w:val="24"/>
        </w:rPr>
        <w:t>Only 23%</w:t>
      </w:r>
      <w:r w:rsidRPr="008034F7">
        <w:rPr>
          <w:rFonts w:ascii="Verdana" w:hAnsi="Verdana" w:cs="National Semibold"/>
          <w:b/>
          <w:color w:val="auto"/>
          <w:sz w:val="24"/>
          <w:szCs w:val="24"/>
        </w:rPr>
        <w:t xml:space="preserve"> </w:t>
      </w:r>
      <w:r w:rsidRPr="008034F7">
        <w:rPr>
          <w:rFonts w:ascii="Verdana" w:hAnsi="Verdana" w:cs="National Light"/>
          <w:color w:val="auto"/>
          <w:sz w:val="24"/>
          <w:szCs w:val="24"/>
        </w:rPr>
        <w:t>of disabled 15+ year-olds are employed, with 22% being underutilised</w:t>
      </w:r>
      <w:r w:rsidR="008034F7">
        <w:rPr>
          <w:rFonts w:ascii="Verdana" w:hAnsi="Verdana" w:cs="National Light"/>
          <w:color w:val="auto"/>
          <w:sz w:val="24"/>
          <w:szCs w:val="24"/>
        </w:rPr>
        <w:br/>
      </w:r>
      <w:r w:rsidRPr="008034F7">
        <w:rPr>
          <w:rFonts w:ascii="Verdana" w:hAnsi="Verdana" w:cs="National Light"/>
          <w:color w:val="auto"/>
          <w:sz w:val="24"/>
          <w:szCs w:val="24"/>
        </w:rPr>
        <w:t xml:space="preserve"> (70% for non-disabled people employed, 12% underutilised)</w:t>
      </w:r>
    </w:p>
    <w:p w14:paraId="3C153066" w14:textId="21E953FA" w:rsidR="00386210" w:rsidRPr="008034F7" w:rsidRDefault="00386210" w:rsidP="00386210">
      <w:pPr>
        <w:pStyle w:val="Bodycentred"/>
        <w:numPr>
          <w:ilvl w:val="0"/>
          <w:numId w:val="33"/>
        </w:numPr>
        <w:jc w:val="left"/>
        <w:rPr>
          <w:rFonts w:ascii="Verdana" w:hAnsi="Verdana" w:cs="National Semibold"/>
          <w:b/>
          <w:color w:val="auto"/>
          <w:sz w:val="24"/>
          <w:szCs w:val="24"/>
        </w:rPr>
      </w:pPr>
      <w:r w:rsidRPr="008034F7">
        <w:rPr>
          <w:rFonts w:ascii="Verdana" w:hAnsi="Verdana" w:cs="National Semibold"/>
          <w:b/>
          <w:color w:val="auto"/>
          <w:sz w:val="24"/>
          <w:szCs w:val="24"/>
        </w:rPr>
        <w:t>4</w:t>
      </w:r>
      <w:r w:rsidRPr="008034F7">
        <w:rPr>
          <w:rFonts w:ascii="Verdana" w:hAnsi="Verdana" w:cs="National Semibold"/>
          <w:b/>
          <w:color w:val="auto"/>
          <w:sz w:val="24"/>
          <w:szCs w:val="24"/>
        </w:rPr>
        <w:t>6%</w:t>
      </w:r>
      <w:r w:rsidRPr="008034F7">
        <w:rPr>
          <w:rFonts w:ascii="Verdana" w:hAnsi="Verdana" w:cs="National Semibold"/>
          <w:b/>
          <w:color w:val="auto"/>
          <w:sz w:val="24"/>
          <w:szCs w:val="24"/>
        </w:rPr>
        <w:t xml:space="preserve"> </w:t>
      </w:r>
      <w:r w:rsidRPr="008034F7">
        <w:rPr>
          <w:rFonts w:ascii="Verdana" w:hAnsi="Verdana"/>
          <w:color w:val="auto"/>
          <w:sz w:val="24"/>
          <w:szCs w:val="24"/>
        </w:rPr>
        <w:t xml:space="preserve">of disabled people aged 18+ reported having poor overall mental wellbeing </w:t>
      </w:r>
      <w:r w:rsidRPr="008034F7">
        <w:rPr>
          <w:rFonts w:ascii="Verdana" w:hAnsi="Verdana"/>
          <w:color w:val="auto"/>
          <w:sz w:val="24"/>
          <w:szCs w:val="24"/>
        </w:rPr>
        <w:br/>
      </w:r>
      <w:r w:rsidRPr="008034F7">
        <w:rPr>
          <w:rFonts w:ascii="Verdana" w:hAnsi="Verdana"/>
          <w:color w:val="auto"/>
          <w:sz w:val="24"/>
          <w:szCs w:val="24"/>
        </w:rPr>
        <w:t>(7% for non-disabled people)</w:t>
      </w:r>
    </w:p>
    <w:p w14:paraId="360F3BC0" w14:textId="094A77D1" w:rsidR="008034F7" w:rsidRDefault="008034F7">
      <w:pPr>
        <w:spacing w:after="0" w:line="240" w:lineRule="auto"/>
        <w:rPr>
          <w:rFonts w:cs="National Semibold"/>
          <w:b/>
          <w:color w:val="000089"/>
          <w:kern w:val="0"/>
          <w:sz w:val="40"/>
          <w:szCs w:val="40"/>
          <w:lang w:val="en-GB"/>
        </w:rPr>
      </w:pPr>
      <w:r>
        <w:rPr>
          <w:rFonts w:cs="National Semibold"/>
          <w:b/>
          <w:color w:val="000089"/>
          <w:sz w:val="40"/>
          <w:szCs w:val="40"/>
        </w:rPr>
        <w:br w:type="page"/>
      </w:r>
    </w:p>
    <w:p w14:paraId="08E33491" w14:textId="77777777" w:rsidR="00386210" w:rsidRPr="00386210" w:rsidRDefault="00386210" w:rsidP="00386210">
      <w:pPr>
        <w:pStyle w:val="Bodycentred"/>
        <w:ind w:left="720"/>
        <w:jc w:val="left"/>
        <w:rPr>
          <w:rFonts w:ascii="Verdana" w:hAnsi="Verdana" w:cs="National Semibold"/>
          <w:b/>
          <w:color w:val="000089"/>
          <w:sz w:val="40"/>
          <w:szCs w:val="40"/>
        </w:rPr>
      </w:pPr>
    </w:p>
    <w:bookmarkStart w:id="4" w:name="_Toc53379872" w:displacedByCustomXml="next"/>
    <w:bookmarkStart w:id="5" w:name="_Hlk46133238" w:displacedByCustomXml="next"/>
    <w:sdt>
      <w:sdtPr>
        <w:rPr>
          <w:b/>
        </w:rPr>
        <w:id w:val="-212044476"/>
        <w:docPartObj>
          <w:docPartGallery w:val="Table of Contents"/>
          <w:docPartUnique/>
        </w:docPartObj>
      </w:sdtPr>
      <w:sdtEndPr>
        <w:rPr>
          <w:rFonts w:cs="Arial"/>
          <w:b w:val="0"/>
          <w:noProof/>
          <w:color w:val="auto"/>
        </w:rPr>
      </w:sdtEndPr>
      <w:sdtContent>
        <w:p w14:paraId="00CCE3D0" w14:textId="70048A94" w:rsidR="00DB427A" w:rsidRPr="008F0B95" w:rsidRDefault="00DB427A" w:rsidP="008034F7">
          <w:pPr>
            <w:pStyle w:val="Graphicdetail"/>
            <w:jc w:val="left"/>
            <w:rPr>
              <w:color w:val="121F6B"/>
              <w:sz w:val="36"/>
            </w:rPr>
          </w:pPr>
          <w:r w:rsidRPr="008F0B95">
            <w:rPr>
              <w:color w:val="121F6B"/>
              <w:sz w:val="36"/>
            </w:rPr>
            <w:t>Contents</w:t>
          </w:r>
          <w:bookmarkEnd w:id="4"/>
        </w:p>
        <w:p w14:paraId="4F4C4DDF" w14:textId="77777777" w:rsidR="00DB427A" w:rsidRDefault="00DB427A" w:rsidP="00DB427A">
          <w:pPr>
            <w:pStyle w:val="TOC2"/>
            <w:tabs>
              <w:tab w:val="right" w:leader="dot" w:pos="9016"/>
            </w:tabs>
            <w:rPr>
              <w:rFonts w:asciiTheme="minorHAnsi" w:eastAsiaTheme="minorEastAsia" w:hAnsiTheme="minorHAnsi" w:cstheme="minorBidi"/>
              <w:noProof/>
              <w:kern w:val="0"/>
              <w:szCs w:val="22"/>
              <w:lang w:val="en-NZ" w:eastAsia="en-NZ"/>
            </w:rPr>
          </w:pPr>
          <w:r>
            <w:rPr>
              <w:b/>
            </w:rPr>
            <w:fldChar w:fldCharType="begin"/>
          </w:r>
          <w:r>
            <w:instrText xml:space="preserve"> TOC \o "1-3" \h \z \u </w:instrText>
          </w:r>
          <w:r>
            <w:rPr>
              <w:b/>
            </w:rPr>
            <w:fldChar w:fldCharType="separate"/>
          </w:r>
          <w:hyperlink w:anchor="_Toc53379872" w:history="1">
            <w:r w:rsidRPr="003B03C9">
              <w:rPr>
                <w:rStyle w:val="Hyperlink"/>
                <w:noProof/>
              </w:rPr>
              <w:t>Contents</w:t>
            </w:r>
            <w:r>
              <w:rPr>
                <w:noProof/>
                <w:webHidden/>
              </w:rPr>
              <w:tab/>
            </w:r>
            <w:r>
              <w:rPr>
                <w:noProof/>
                <w:webHidden/>
              </w:rPr>
              <w:fldChar w:fldCharType="begin"/>
            </w:r>
            <w:r>
              <w:rPr>
                <w:noProof/>
                <w:webHidden/>
              </w:rPr>
              <w:instrText xml:space="preserve"> PAGEREF _Toc53379872 \h </w:instrText>
            </w:r>
            <w:r>
              <w:rPr>
                <w:noProof/>
                <w:webHidden/>
              </w:rPr>
            </w:r>
            <w:r>
              <w:rPr>
                <w:noProof/>
                <w:webHidden/>
              </w:rPr>
              <w:fldChar w:fldCharType="separate"/>
            </w:r>
            <w:r>
              <w:rPr>
                <w:noProof/>
                <w:webHidden/>
              </w:rPr>
              <w:t>3</w:t>
            </w:r>
            <w:r>
              <w:rPr>
                <w:noProof/>
                <w:webHidden/>
              </w:rPr>
              <w:fldChar w:fldCharType="end"/>
            </w:r>
          </w:hyperlink>
        </w:p>
        <w:p w14:paraId="3D543D67" w14:textId="77777777" w:rsidR="00DB427A" w:rsidRDefault="00E5040F" w:rsidP="00DB427A">
          <w:pPr>
            <w:pStyle w:val="TOC2"/>
            <w:tabs>
              <w:tab w:val="right" w:leader="dot" w:pos="9016"/>
            </w:tabs>
            <w:rPr>
              <w:rFonts w:asciiTheme="minorHAnsi" w:eastAsiaTheme="minorEastAsia" w:hAnsiTheme="minorHAnsi" w:cstheme="minorBidi"/>
              <w:noProof/>
              <w:kern w:val="0"/>
              <w:szCs w:val="22"/>
              <w:lang w:val="en-NZ" w:eastAsia="en-NZ"/>
            </w:rPr>
          </w:pPr>
          <w:hyperlink w:anchor="_Toc53379873" w:history="1">
            <w:r w:rsidR="00DB427A" w:rsidRPr="003B03C9">
              <w:rPr>
                <w:rStyle w:val="Hyperlink"/>
                <w:noProof/>
              </w:rPr>
              <w:t>Welcome to the Disability Issues portfolio</w:t>
            </w:r>
            <w:r w:rsidR="00DB427A">
              <w:rPr>
                <w:noProof/>
                <w:webHidden/>
              </w:rPr>
              <w:tab/>
            </w:r>
            <w:r w:rsidR="00DB427A">
              <w:rPr>
                <w:noProof/>
                <w:webHidden/>
              </w:rPr>
              <w:fldChar w:fldCharType="begin"/>
            </w:r>
            <w:r w:rsidR="00DB427A">
              <w:rPr>
                <w:noProof/>
                <w:webHidden/>
              </w:rPr>
              <w:instrText xml:space="preserve"> PAGEREF _Toc53379873 \h </w:instrText>
            </w:r>
            <w:r w:rsidR="00DB427A">
              <w:rPr>
                <w:noProof/>
                <w:webHidden/>
              </w:rPr>
            </w:r>
            <w:r w:rsidR="00DB427A">
              <w:rPr>
                <w:noProof/>
                <w:webHidden/>
              </w:rPr>
              <w:fldChar w:fldCharType="separate"/>
            </w:r>
            <w:r w:rsidR="00DB427A">
              <w:rPr>
                <w:noProof/>
                <w:webHidden/>
              </w:rPr>
              <w:t>1</w:t>
            </w:r>
            <w:r w:rsidR="00DB427A">
              <w:rPr>
                <w:noProof/>
                <w:webHidden/>
              </w:rPr>
              <w:fldChar w:fldCharType="end"/>
            </w:r>
          </w:hyperlink>
        </w:p>
        <w:p w14:paraId="63C4721B" w14:textId="77777777" w:rsidR="00DB427A" w:rsidRDefault="00E5040F" w:rsidP="00DB427A">
          <w:pPr>
            <w:pStyle w:val="TOC3"/>
            <w:tabs>
              <w:tab w:val="right" w:leader="dot" w:pos="9016"/>
            </w:tabs>
            <w:rPr>
              <w:rFonts w:asciiTheme="minorHAnsi" w:eastAsiaTheme="minorEastAsia" w:hAnsiTheme="minorHAnsi" w:cstheme="minorBidi"/>
              <w:noProof/>
              <w:kern w:val="0"/>
              <w:szCs w:val="22"/>
              <w:lang w:val="en-NZ" w:eastAsia="en-NZ"/>
            </w:rPr>
          </w:pPr>
          <w:hyperlink w:anchor="_Toc53379874" w:history="1">
            <w:r w:rsidR="00DB427A" w:rsidRPr="003B03C9">
              <w:rPr>
                <w:rStyle w:val="Hyperlink"/>
                <w:rFonts w:eastAsiaTheme="majorEastAsia"/>
                <w:bCs/>
                <w:noProof/>
                <w:lang w:val="en-NZ" w:eastAsia="en-AU"/>
              </w:rPr>
              <w:t>Appropriation responsibilities</w:t>
            </w:r>
            <w:r w:rsidR="00DB427A">
              <w:rPr>
                <w:noProof/>
                <w:webHidden/>
              </w:rPr>
              <w:tab/>
            </w:r>
            <w:r w:rsidR="00DB427A">
              <w:rPr>
                <w:noProof/>
                <w:webHidden/>
              </w:rPr>
              <w:fldChar w:fldCharType="begin"/>
            </w:r>
            <w:r w:rsidR="00DB427A">
              <w:rPr>
                <w:noProof/>
                <w:webHidden/>
              </w:rPr>
              <w:instrText xml:space="preserve"> PAGEREF _Toc53379874 \h </w:instrText>
            </w:r>
            <w:r w:rsidR="00DB427A">
              <w:rPr>
                <w:noProof/>
                <w:webHidden/>
              </w:rPr>
            </w:r>
            <w:r w:rsidR="00DB427A">
              <w:rPr>
                <w:noProof/>
                <w:webHidden/>
              </w:rPr>
              <w:fldChar w:fldCharType="separate"/>
            </w:r>
            <w:r w:rsidR="00DB427A">
              <w:rPr>
                <w:noProof/>
                <w:webHidden/>
              </w:rPr>
              <w:t>1</w:t>
            </w:r>
            <w:r w:rsidR="00DB427A">
              <w:rPr>
                <w:noProof/>
                <w:webHidden/>
              </w:rPr>
              <w:fldChar w:fldCharType="end"/>
            </w:r>
          </w:hyperlink>
        </w:p>
        <w:p w14:paraId="025A5FE9" w14:textId="77777777" w:rsidR="00DB427A" w:rsidRDefault="00E5040F" w:rsidP="00DB427A">
          <w:pPr>
            <w:pStyle w:val="TOC3"/>
            <w:tabs>
              <w:tab w:val="right" w:leader="dot" w:pos="9016"/>
            </w:tabs>
            <w:rPr>
              <w:rFonts w:asciiTheme="minorHAnsi" w:eastAsiaTheme="minorEastAsia" w:hAnsiTheme="minorHAnsi" w:cstheme="minorBidi"/>
              <w:noProof/>
              <w:kern w:val="0"/>
              <w:szCs w:val="22"/>
              <w:lang w:val="en-NZ" w:eastAsia="en-NZ"/>
            </w:rPr>
          </w:pPr>
          <w:hyperlink w:anchor="_Toc53379875" w:history="1">
            <w:r w:rsidR="00DB427A" w:rsidRPr="003B03C9">
              <w:rPr>
                <w:rStyle w:val="Hyperlink"/>
                <w:rFonts w:eastAsiaTheme="majorEastAsia"/>
                <w:bCs/>
                <w:noProof/>
                <w:lang w:val="en-NZ" w:eastAsia="en-AU"/>
              </w:rPr>
              <w:t>The Office for Disability Issues reports to and supports your role as Minister for Disability Issues</w:t>
            </w:r>
            <w:r w:rsidR="00DB427A">
              <w:rPr>
                <w:noProof/>
                <w:webHidden/>
              </w:rPr>
              <w:tab/>
            </w:r>
            <w:r w:rsidR="00DB427A">
              <w:rPr>
                <w:noProof/>
                <w:webHidden/>
              </w:rPr>
              <w:fldChar w:fldCharType="begin"/>
            </w:r>
            <w:r w:rsidR="00DB427A">
              <w:rPr>
                <w:noProof/>
                <w:webHidden/>
              </w:rPr>
              <w:instrText xml:space="preserve"> PAGEREF _Toc53379875 \h </w:instrText>
            </w:r>
            <w:r w:rsidR="00DB427A">
              <w:rPr>
                <w:noProof/>
                <w:webHidden/>
              </w:rPr>
            </w:r>
            <w:r w:rsidR="00DB427A">
              <w:rPr>
                <w:noProof/>
                <w:webHidden/>
              </w:rPr>
              <w:fldChar w:fldCharType="separate"/>
            </w:r>
            <w:r w:rsidR="00DB427A">
              <w:rPr>
                <w:noProof/>
                <w:webHidden/>
              </w:rPr>
              <w:t>1</w:t>
            </w:r>
            <w:r w:rsidR="00DB427A">
              <w:rPr>
                <w:noProof/>
                <w:webHidden/>
              </w:rPr>
              <w:fldChar w:fldCharType="end"/>
            </w:r>
          </w:hyperlink>
        </w:p>
        <w:p w14:paraId="601E28E9" w14:textId="77777777" w:rsidR="00DB427A" w:rsidRDefault="00E5040F" w:rsidP="00DB427A">
          <w:pPr>
            <w:pStyle w:val="TOC3"/>
            <w:tabs>
              <w:tab w:val="right" w:leader="dot" w:pos="9016"/>
            </w:tabs>
            <w:rPr>
              <w:rFonts w:asciiTheme="minorHAnsi" w:eastAsiaTheme="minorEastAsia" w:hAnsiTheme="minorHAnsi" w:cstheme="minorBidi"/>
              <w:noProof/>
              <w:kern w:val="0"/>
              <w:szCs w:val="22"/>
              <w:lang w:val="en-NZ" w:eastAsia="en-NZ"/>
            </w:rPr>
          </w:pPr>
          <w:hyperlink w:anchor="_Toc53379876" w:history="1">
            <w:r w:rsidR="00DB427A" w:rsidRPr="003B03C9">
              <w:rPr>
                <w:rStyle w:val="Hyperlink"/>
                <w:rFonts w:eastAsiaTheme="majorEastAsia"/>
                <w:bCs/>
                <w:noProof/>
                <w:lang w:val="en-NZ" w:eastAsia="en-AU"/>
              </w:rPr>
              <w:t>Disability, Seniors and International Policy team</w:t>
            </w:r>
            <w:r w:rsidR="00DB427A">
              <w:rPr>
                <w:noProof/>
                <w:webHidden/>
              </w:rPr>
              <w:tab/>
            </w:r>
            <w:r w:rsidR="00DB427A">
              <w:rPr>
                <w:noProof/>
                <w:webHidden/>
              </w:rPr>
              <w:fldChar w:fldCharType="begin"/>
            </w:r>
            <w:r w:rsidR="00DB427A">
              <w:rPr>
                <w:noProof/>
                <w:webHidden/>
              </w:rPr>
              <w:instrText xml:space="preserve"> PAGEREF _Toc53379876 \h </w:instrText>
            </w:r>
            <w:r w:rsidR="00DB427A">
              <w:rPr>
                <w:noProof/>
                <w:webHidden/>
              </w:rPr>
            </w:r>
            <w:r w:rsidR="00DB427A">
              <w:rPr>
                <w:noProof/>
                <w:webHidden/>
              </w:rPr>
              <w:fldChar w:fldCharType="separate"/>
            </w:r>
            <w:r w:rsidR="00DB427A">
              <w:rPr>
                <w:noProof/>
                <w:webHidden/>
              </w:rPr>
              <w:t>2</w:t>
            </w:r>
            <w:r w:rsidR="00DB427A">
              <w:rPr>
                <w:noProof/>
                <w:webHidden/>
              </w:rPr>
              <w:fldChar w:fldCharType="end"/>
            </w:r>
          </w:hyperlink>
        </w:p>
        <w:p w14:paraId="0014667E" w14:textId="77777777" w:rsidR="00DB427A" w:rsidRDefault="00E5040F" w:rsidP="00DB427A">
          <w:pPr>
            <w:pStyle w:val="TOC2"/>
            <w:tabs>
              <w:tab w:val="right" w:leader="dot" w:pos="9016"/>
            </w:tabs>
            <w:rPr>
              <w:rFonts w:asciiTheme="minorHAnsi" w:eastAsiaTheme="minorEastAsia" w:hAnsiTheme="minorHAnsi" w:cstheme="minorBidi"/>
              <w:noProof/>
              <w:kern w:val="0"/>
              <w:szCs w:val="22"/>
              <w:lang w:val="en-NZ" w:eastAsia="en-NZ"/>
            </w:rPr>
          </w:pPr>
          <w:hyperlink w:anchor="_Toc53379877" w:history="1">
            <w:r w:rsidR="00DB427A" w:rsidRPr="003B03C9">
              <w:rPr>
                <w:rStyle w:val="Hyperlink"/>
                <w:noProof/>
              </w:rPr>
              <w:t>You have key roles and responsibilities</w:t>
            </w:r>
            <w:r w:rsidR="00DB427A">
              <w:rPr>
                <w:noProof/>
                <w:webHidden/>
              </w:rPr>
              <w:tab/>
            </w:r>
            <w:r w:rsidR="00DB427A">
              <w:rPr>
                <w:noProof/>
                <w:webHidden/>
              </w:rPr>
              <w:fldChar w:fldCharType="begin"/>
            </w:r>
            <w:r w:rsidR="00DB427A">
              <w:rPr>
                <w:noProof/>
                <w:webHidden/>
              </w:rPr>
              <w:instrText xml:space="preserve"> PAGEREF _Toc53379877 \h </w:instrText>
            </w:r>
            <w:r w:rsidR="00DB427A">
              <w:rPr>
                <w:noProof/>
                <w:webHidden/>
              </w:rPr>
            </w:r>
            <w:r w:rsidR="00DB427A">
              <w:rPr>
                <w:noProof/>
                <w:webHidden/>
              </w:rPr>
              <w:fldChar w:fldCharType="separate"/>
            </w:r>
            <w:r w:rsidR="00DB427A">
              <w:rPr>
                <w:noProof/>
                <w:webHidden/>
              </w:rPr>
              <w:t>3</w:t>
            </w:r>
            <w:r w:rsidR="00DB427A">
              <w:rPr>
                <w:noProof/>
                <w:webHidden/>
              </w:rPr>
              <w:fldChar w:fldCharType="end"/>
            </w:r>
          </w:hyperlink>
        </w:p>
        <w:p w14:paraId="29AC8CD9" w14:textId="77777777" w:rsidR="00DB427A" w:rsidRDefault="00E5040F" w:rsidP="00DB427A">
          <w:pPr>
            <w:pStyle w:val="TOC3"/>
            <w:tabs>
              <w:tab w:val="right" w:leader="dot" w:pos="9016"/>
            </w:tabs>
            <w:rPr>
              <w:rFonts w:asciiTheme="minorHAnsi" w:eastAsiaTheme="minorEastAsia" w:hAnsiTheme="minorHAnsi" w:cstheme="minorBidi"/>
              <w:noProof/>
              <w:kern w:val="0"/>
              <w:szCs w:val="22"/>
              <w:lang w:val="en-NZ" w:eastAsia="en-NZ"/>
            </w:rPr>
          </w:pPr>
          <w:hyperlink w:anchor="_Toc53379878" w:history="1">
            <w:r w:rsidR="00DB427A" w:rsidRPr="003B03C9">
              <w:rPr>
                <w:rStyle w:val="Hyperlink"/>
                <w:rFonts w:eastAsiaTheme="majorEastAsia"/>
                <w:bCs/>
                <w:noProof/>
                <w:lang w:val="en-NZ" w:eastAsia="en-AU"/>
              </w:rPr>
              <w:t>The United Nations Convention on the Rights of Persons with Disabilities</w:t>
            </w:r>
            <w:r w:rsidR="00DB427A">
              <w:rPr>
                <w:noProof/>
                <w:webHidden/>
              </w:rPr>
              <w:tab/>
            </w:r>
            <w:r w:rsidR="00DB427A">
              <w:rPr>
                <w:noProof/>
                <w:webHidden/>
              </w:rPr>
              <w:fldChar w:fldCharType="begin"/>
            </w:r>
            <w:r w:rsidR="00DB427A">
              <w:rPr>
                <w:noProof/>
                <w:webHidden/>
              </w:rPr>
              <w:instrText xml:space="preserve"> PAGEREF _Toc53379878 \h </w:instrText>
            </w:r>
            <w:r w:rsidR="00DB427A">
              <w:rPr>
                <w:noProof/>
                <w:webHidden/>
              </w:rPr>
            </w:r>
            <w:r w:rsidR="00DB427A">
              <w:rPr>
                <w:noProof/>
                <w:webHidden/>
              </w:rPr>
              <w:fldChar w:fldCharType="separate"/>
            </w:r>
            <w:r w:rsidR="00DB427A">
              <w:rPr>
                <w:noProof/>
                <w:webHidden/>
              </w:rPr>
              <w:t>4</w:t>
            </w:r>
            <w:r w:rsidR="00DB427A">
              <w:rPr>
                <w:noProof/>
                <w:webHidden/>
              </w:rPr>
              <w:fldChar w:fldCharType="end"/>
            </w:r>
          </w:hyperlink>
        </w:p>
        <w:p w14:paraId="5BA42697" w14:textId="77777777" w:rsidR="00DB427A" w:rsidRDefault="00E5040F" w:rsidP="00DB427A">
          <w:pPr>
            <w:pStyle w:val="TOC3"/>
            <w:tabs>
              <w:tab w:val="right" w:leader="dot" w:pos="9016"/>
            </w:tabs>
            <w:rPr>
              <w:rFonts w:asciiTheme="minorHAnsi" w:eastAsiaTheme="minorEastAsia" w:hAnsiTheme="minorHAnsi" w:cstheme="minorBidi"/>
              <w:noProof/>
              <w:kern w:val="0"/>
              <w:szCs w:val="22"/>
              <w:lang w:val="en-NZ" w:eastAsia="en-NZ"/>
            </w:rPr>
          </w:pPr>
          <w:hyperlink w:anchor="_Toc53379879" w:history="1">
            <w:r w:rsidR="00DB427A" w:rsidRPr="003B03C9">
              <w:rPr>
                <w:rStyle w:val="Hyperlink"/>
                <w:rFonts w:eastAsiaTheme="majorEastAsia"/>
                <w:bCs/>
                <w:noProof/>
                <w:lang w:val="en-NZ" w:eastAsia="en-AU"/>
              </w:rPr>
              <w:t>The New Zealand Disability Strategy 2016-2026</w:t>
            </w:r>
            <w:r w:rsidR="00DB427A">
              <w:rPr>
                <w:noProof/>
                <w:webHidden/>
              </w:rPr>
              <w:tab/>
            </w:r>
            <w:r w:rsidR="00DB427A">
              <w:rPr>
                <w:noProof/>
                <w:webHidden/>
              </w:rPr>
              <w:fldChar w:fldCharType="begin"/>
            </w:r>
            <w:r w:rsidR="00DB427A">
              <w:rPr>
                <w:noProof/>
                <w:webHidden/>
              </w:rPr>
              <w:instrText xml:space="preserve"> PAGEREF _Toc53379879 \h </w:instrText>
            </w:r>
            <w:r w:rsidR="00DB427A">
              <w:rPr>
                <w:noProof/>
                <w:webHidden/>
              </w:rPr>
            </w:r>
            <w:r w:rsidR="00DB427A">
              <w:rPr>
                <w:noProof/>
                <w:webHidden/>
              </w:rPr>
              <w:fldChar w:fldCharType="separate"/>
            </w:r>
            <w:r w:rsidR="00DB427A">
              <w:rPr>
                <w:noProof/>
                <w:webHidden/>
              </w:rPr>
              <w:t>5</w:t>
            </w:r>
            <w:r w:rsidR="00DB427A">
              <w:rPr>
                <w:noProof/>
                <w:webHidden/>
              </w:rPr>
              <w:fldChar w:fldCharType="end"/>
            </w:r>
          </w:hyperlink>
        </w:p>
        <w:p w14:paraId="43695A74" w14:textId="77777777" w:rsidR="00DB427A" w:rsidRDefault="00E5040F" w:rsidP="00DB427A">
          <w:pPr>
            <w:pStyle w:val="TOC3"/>
            <w:tabs>
              <w:tab w:val="right" w:leader="dot" w:pos="9016"/>
            </w:tabs>
            <w:rPr>
              <w:rFonts w:asciiTheme="minorHAnsi" w:eastAsiaTheme="minorEastAsia" w:hAnsiTheme="minorHAnsi" w:cstheme="minorBidi"/>
              <w:noProof/>
              <w:kern w:val="0"/>
              <w:szCs w:val="22"/>
              <w:lang w:val="en-NZ" w:eastAsia="en-NZ"/>
            </w:rPr>
          </w:pPr>
          <w:hyperlink w:anchor="_Toc53379880" w:history="1">
            <w:r w:rsidR="00DB427A" w:rsidRPr="003B03C9">
              <w:rPr>
                <w:rStyle w:val="Hyperlink"/>
                <w:rFonts w:eastAsiaTheme="majorEastAsia"/>
                <w:bCs/>
                <w:noProof/>
                <w:lang w:val="en-NZ" w:eastAsia="en-AU"/>
              </w:rPr>
              <w:t>The Disability Action Plan 2019-2023</w:t>
            </w:r>
            <w:r w:rsidR="00DB427A">
              <w:rPr>
                <w:noProof/>
                <w:webHidden/>
              </w:rPr>
              <w:tab/>
            </w:r>
            <w:r w:rsidR="00DB427A">
              <w:rPr>
                <w:noProof/>
                <w:webHidden/>
              </w:rPr>
              <w:fldChar w:fldCharType="begin"/>
            </w:r>
            <w:r w:rsidR="00DB427A">
              <w:rPr>
                <w:noProof/>
                <w:webHidden/>
              </w:rPr>
              <w:instrText xml:space="preserve"> PAGEREF _Toc53379880 \h </w:instrText>
            </w:r>
            <w:r w:rsidR="00DB427A">
              <w:rPr>
                <w:noProof/>
                <w:webHidden/>
              </w:rPr>
            </w:r>
            <w:r w:rsidR="00DB427A">
              <w:rPr>
                <w:noProof/>
                <w:webHidden/>
              </w:rPr>
              <w:fldChar w:fldCharType="separate"/>
            </w:r>
            <w:r w:rsidR="00DB427A">
              <w:rPr>
                <w:noProof/>
                <w:webHidden/>
              </w:rPr>
              <w:t>6</w:t>
            </w:r>
            <w:r w:rsidR="00DB427A">
              <w:rPr>
                <w:noProof/>
                <w:webHidden/>
              </w:rPr>
              <w:fldChar w:fldCharType="end"/>
            </w:r>
          </w:hyperlink>
        </w:p>
        <w:p w14:paraId="3BBFE7B0" w14:textId="77777777" w:rsidR="00DB427A" w:rsidRDefault="00E5040F" w:rsidP="00DB427A">
          <w:pPr>
            <w:pStyle w:val="TOC3"/>
            <w:tabs>
              <w:tab w:val="right" w:leader="dot" w:pos="9016"/>
            </w:tabs>
            <w:rPr>
              <w:rFonts w:asciiTheme="minorHAnsi" w:eastAsiaTheme="minorEastAsia" w:hAnsiTheme="minorHAnsi" w:cstheme="minorBidi"/>
              <w:noProof/>
              <w:kern w:val="0"/>
              <w:szCs w:val="22"/>
              <w:lang w:val="en-NZ" w:eastAsia="en-NZ"/>
            </w:rPr>
          </w:pPr>
          <w:hyperlink w:anchor="_Toc53379881" w:history="1">
            <w:r w:rsidR="00DB427A" w:rsidRPr="003B03C9">
              <w:rPr>
                <w:rStyle w:val="Hyperlink"/>
                <w:rFonts w:eastAsiaTheme="majorEastAsia"/>
                <w:bCs/>
                <w:noProof/>
                <w:lang w:val="en-NZ" w:eastAsia="en-AU"/>
              </w:rPr>
              <w:t>New Zealand Sign Language (NZSL)</w:t>
            </w:r>
            <w:r w:rsidR="00DB427A">
              <w:rPr>
                <w:noProof/>
                <w:webHidden/>
              </w:rPr>
              <w:tab/>
            </w:r>
            <w:r w:rsidR="00DB427A">
              <w:rPr>
                <w:noProof/>
                <w:webHidden/>
              </w:rPr>
              <w:fldChar w:fldCharType="begin"/>
            </w:r>
            <w:r w:rsidR="00DB427A">
              <w:rPr>
                <w:noProof/>
                <w:webHidden/>
              </w:rPr>
              <w:instrText xml:space="preserve"> PAGEREF _Toc53379881 \h </w:instrText>
            </w:r>
            <w:r w:rsidR="00DB427A">
              <w:rPr>
                <w:noProof/>
                <w:webHidden/>
              </w:rPr>
            </w:r>
            <w:r w:rsidR="00DB427A">
              <w:rPr>
                <w:noProof/>
                <w:webHidden/>
              </w:rPr>
              <w:fldChar w:fldCharType="separate"/>
            </w:r>
            <w:r w:rsidR="00DB427A">
              <w:rPr>
                <w:noProof/>
                <w:webHidden/>
              </w:rPr>
              <w:t>8</w:t>
            </w:r>
            <w:r w:rsidR="00DB427A">
              <w:rPr>
                <w:noProof/>
                <w:webHidden/>
              </w:rPr>
              <w:fldChar w:fldCharType="end"/>
            </w:r>
          </w:hyperlink>
        </w:p>
        <w:p w14:paraId="4C2812B8" w14:textId="77777777" w:rsidR="00DB427A" w:rsidRDefault="00E5040F" w:rsidP="00DB427A">
          <w:pPr>
            <w:pStyle w:val="TOC2"/>
            <w:tabs>
              <w:tab w:val="right" w:leader="dot" w:pos="9016"/>
            </w:tabs>
            <w:rPr>
              <w:rFonts w:asciiTheme="minorHAnsi" w:eastAsiaTheme="minorEastAsia" w:hAnsiTheme="minorHAnsi" w:cstheme="minorBidi"/>
              <w:noProof/>
              <w:kern w:val="0"/>
              <w:szCs w:val="22"/>
              <w:lang w:val="en-NZ" w:eastAsia="en-NZ"/>
            </w:rPr>
          </w:pPr>
          <w:hyperlink w:anchor="_Toc53379882" w:history="1">
            <w:r w:rsidR="00DB427A" w:rsidRPr="003B03C9">
              <w:rPr>
                <w:rStyle w:val="Hyperlink"/>
                <w:noProof/>
              </w:rPr>
              <w:t>Moving towards a non-disabling society is important</w:t>
            </w:r>
            <w:r w:rsidR="00DB427A">
              <w:rPr>
                <w:noProof/>
                <w:webHidden/>
              </w:rPr>
              <w:tab/>
            </w:r>
            <w:r w:rsidR="00DB427A">
              <w:rPr>
                <w:noProof/>
                <w:webHidden/>
              </w:rPr>
              <w:fldChar w:fldCharType="begin"/>
            </w:r>
            <w:r w:rsidR="00DB427A">
              <w:rPr>
                <w:noProof/>
                <w:webHidden/>
              </w:rPr>
              <w:instrText xml:space="preserve"> PAGEREF _Toc53379882 \h </w:instrText>
            </w:r>
            <w:r w:rsidR="00DB427A">
              <w:rPr>
                <w:noProof/>
                <w:webHidden/>
              </w:rPr>
            </w:r>
            <w:r w:rsidR="00DB427A">
              <w:rPr>
                <w:noProof/>
                <w:webHidden/>
              </w:rPr>
              <w:fldChar w:fldCharType="separate"/>
            </w:r>
            <w:r w:rsidR="00DB427A">
              <w:rPr>
                <w:noProof/>
                <w:webHidden/>
              </w:rPr>
              <w:t>11</w:t>
            </w:r>
            <w:r w:rsidR="00DB427A">
              <w:rPr>
                <w:noProof/>
                <w:webHidden/>
              </w:rPr>
              <w:fldChar w:fldCharType="end"/>
            </w:r>
          </w:hyperlink>
        </w:p>
        <w:p w14:paraId="3862F722" w14:textId="77777777" w:rsidR="00DB427A" w:rsidRDefault="00E5040F" w:rsidP="00DB427A">
          <w:pPr>
            <w:pStyle w:val="TOC3"/>
            <w:tabs>
              <w:tab w:val="right" w:leader="dot" w:pos="9016"/>
            </w:tabs>
            <w:rPr>
              <w:rFonts w:asciiTheme="minorHAnsi" w:eastAsiaTheme="minorEastAsia" w:hAnsiTheme="minorHAnsi" w:cstheme="minorBidi"/>
              <w:noProof/>
              <w:kern w:val="0"/>
              <w:szCs w:val="22"/>
              <w:lang w:val="en-NZ" w:eastAsia="en-NZ"/>
            </w:rPr>
          </w:pPr>
          <w:hyperlink w:anchor="_Toc53379883" w:history="1">
            <w:r w:rsidR="00DB427A" w:rsidRPr="003B03C9">
              <w:rPr>
                <w:rStyle w:val="Hyperlink"/>
                <w:rFonts w:eastAsiaTheme="majorEastAsia"/>
                <w:bCs/>
                <w:noProof/>
                <w:lang w:val="en-NZ" w:eastAsia="en-AU"/>
              </w:rPr>
              <w:t>Significant opportunities to progress the rights and opportunities for disabled people</w:t>
            </w:r>
            <w:r w:rsidR="00DB427A">
              <w:rPr>
                <w:noProof/>
                <w:webHidden/>
              </w:rPr>
              <w:tab/>
            </w:r>
            <w:r w:rsidR="00DB427A">
              <w:rPr>
                <w:noProof/>
                <w:webHidden/>
              </w:rPr>
              <w:fldChar w:fldCharType="begin"/>
            </w:r>
            <w:r w:rsidR="00DB427A">
              <w:rPr>
                <w:noProof/>
                <w:webHidden/>
              </w:rPr>
              <w:instrText xml:space="preserve"> PAGEREF _Toc53379883 \h </w:instrText>
            </w:r>
            <w:r w:rsidR="00DB427A">
              <w:rPr>
                <w:noProof/>
                <w:webHidden/>
              </w:rPr>
            </w:r>
            <w:r w:rsidR="00DB427A">
              <w:rPr>
                <w:noProof/>
                <w:webHidden/>
              </w:rPr>
              <w:fldChar w:fldCharType="separate"/>
            </w:r>
            <w:r w:rsidR="00DB427A">
              <w:rPr>
                <w:noProof/>
                <w:webHidden/>
              </w:rPr>
              <w:t>11</w:t>
            </w:r>
            <w:r w:rsidR="00DB427A">
              <w:rPr>
                <w:noProof/>
                <w:webHidden/>
              </w:rPr>
              <w:fldChar w:fldCharType="end"/>
            </w:r>
          </w:hyperlink>
        </w:p>
        <w:p w14:paraId="47AFA878" w14:textId="77777777" w:rsidR="00DB427A" w:rsidRDefault="00E5040F" w:rsidP="00DB427A">
          <w:pPr>
            <w:pStyle w:val="TOC3"/>
            <w:tabs>
              <w:tab w:val="right" w:leader="dot" w:pos="9016"/>
            </w:tabs>
            <w:rPr>
              <w:rFonts w:asciiTheme="minorHAnsi" w:eastAsiaTheme="minorEastAsia" w:hAnsiTheme="minorHAnsi" w:cstheme="minorBidi"/>
              <w:noProof/>
              <w:kern w:val="0"/>
              <w:szCs w:val="22"/>
              <w:lang w:val="en-NZ" w:eastAsia="en-NZ"/>
            </w:rPr>
          </w:pPr>
          <w:hyperlink w:anchor="_Toc53379884" w:history="1">
            <w:r w:rsidR="00DB427A" w:rsidRPr="003B03C9">
              <w:rPr>
                <w:rStyle w:val="Hyperlink"/>
                <w:rFonts w:eastAsiaTheme="majorEastAsia"/>
                <w:bCs/>
                <w:noProof/>
                <w:lang w:val="en-NZ" w:eastAsia="en-AU"/>
              </w:rPr>
              <w:t>How are disabled people in New Zealand doing?</w:t>
            </w:r>
            <w:r w:rsidR="00DB427A">
              <w:rPr>
                <w:noProof/>
                <w:webHidden/>
              </w:rPr>
              <w:tab/>
            </w:r>
            <w:r w:rsidR="00DB427A">
              <w:rPr>
                <w:noProof/>
                <w:webHidden/>
              </w:rPr>
              <w:fldChar w:fldCharType="begin"/>
            </w:r>
            <w:r w:rsidR="00DB427A">
              <w:rPr>
                <w:noProof/>
                <w:webHidden/>
              </w:rPr>
              <w:instrText xml:space="preserve"> PAGEREF _Toc53379884 \h </w:instrText>
            </w:r>
            <w:r w:rsidR="00DB427A">
              <w:rPr>
                <w:noProof/>
                <w:webHidden/>
              </w:rPr>
            </w:r>
            <w:r w:rsidR="00DB427A">
              <w:rPr>
                <w:noProof/>
                <w:webHidden/>
              </w:rPr>
              <w:fldChar w:fldCharType="separate"/>
            </w:r>
            <w:r w:rsidR="00DB427A">
              <w:rPr>
                <w:noProof/>
                <w:webHidden/>
              </w:rPr>
              <w:t>13</w:t>
            </w:r>
            <w:r w:rsidR="00DB427A">
              <w:rPr>
                <w:noProof/>
                <w:webHidden/>
              </w:rPr>
              <w:fldChar w:fldCharType="end"/>
            </w:r>
          </w:hyperlink>
        </w:p>
        <w:p w14:paraId="38DEEA9F" w14:textId="77777777" w:rsidR="00DB427A" w:rsidRDefault="00E5040F" w:rsidP="00DB427A">
          <w:pPr>
            <w:pStyle w:val="TOC3"/>
            <w:tabs>
              <w:tab w:val="right" w:leader="dot" w:pos="9016"/>
            </w:tabs>
            <w:rPr>
              <w:rFonts w:asciiTheme="minorHAnsi" w:eastAsiaTheme="minorEastAsia" w:hAnsiTheme="minorHAnsi" w:cstheme="minorBidi"/>
              <w:noProof/>
              <w:kern w:val="0"/>
              <w:szCs w:val="22"/>
              <w:lang w:val="en-NZ" w:eastAsia="en-NZ"/>
            </w:rPr>
          </w:pPr>
          <w:hyperlink w:anchor="_Toc53379885" w:history="1">
            <w:r w:rsidR="00DB427A" w:rsidRPr="003B03C9">
              <w:rPr>
                <w:rStyle w:val="Hyperlink"/>
                <w:rFonts w:eastAsiaTheme="majorEastAsia"/>
                <w:bCs/>
                <w:noProof/>
                <w:lang w:val="en-NZ" w:eastAsia="en-AU"/>
              </w:rPr>
              <w:t>Disabled New Zealanders are not a homogenous group</w:t>
            </w:r>
            <w:r w:rsidR="00DB427A">
              <w:rPr>
                <w:noProof/>
                <w:webHidden/>
              </w:rPr>
              <w:tab/>
            </w:r>
            <w:r w:rsidR="00DB427A">
              <w:rPr>
                <w:noProof/>
                <w:webHidden/>
              </w:rPr>
              <w:fldChar w:fldCharType="begin"/>
            </w:r>
            <w:r w:rsidR="00DB427A">
              <w:rPr>
                <w:noProof/>
                <w:webHidden/>
              </w:rPr>
              <w:instrText xml:space="preserve"> PAGEREF _Toc53379885 \h </w:instrText>
            </w:r>
            <w:r w:rsidR="00DB427A">
              <w:rPr>
                <w:noProof/>
                <w:webHidden/>
              </w:rPr>
            </w:r>
            <w:r w:rsidR="00DB427A">
              <w:rPr>
                <w:noProof/>
                <w:webHidden/>
              </w:rPr>
              <w:fldChar w:fldCharType="separate"/>
            </w:r>
            <w:r w:rsidR="00DB427A">
              <w:rPr>
                <w:noProof/>
                <w:webHidden/>
              </w:rPr>
              <w:t>15</w:t>
            </w:r>
            <w:r w:rsidR="00DB427A">
              <w:rPr>
                <w:noProof/>
                <w:webHidden/>
              </w:rPr>
              <w:fldChar w:fldCharType="end"/>
            </w:r>
          </w:hyperlink>
        </w:p>
        <w:p w14:paraId="5ADBA63C" w14:textId="77777777" w:rsidR="00DB427A" w:rsidRDefault="00E5040F" w:rsidP="00DB427A">
          <w:pPr>
            <w:pStyle w:val="TOC3"/>
            <w:tabs>
              <w:tab w:val="right" w:leader="dot" w:pos="9016"/>
            </w:tabs>
            <w:rPr>
              <w:rFonts w:asciiTheme="minorHAnsi" w:eastAsiaTheme="minorEastAsia" w:hAnsiTheme="minorHAnsi" w:cstheme="minorBidi"/>
              <w:noProof/>
              <w:kern w:val="0"/>
              <w:szCs w:val="22"/>
              <w:lang w:val="en-NZ" w:eastAsia="en-NZ"/>
            </w:rPr>
          </w:pPr>
          <w:hyperlink w:anchor="_Toc53379886" w:history="1">
            <w:r w:rsidR="00DB427A" w:rsidRPr="003B03C9">
              <w:rPr>
                <w:rStyle w:val="Hyperlink"/>
                <w:rFonts w:eastAsiaTheme="majorEastAsia"/>
                <w:bCs/>
                <w:noProof/>
                <w:lang w:val="en-NZ" w:eastAsia="en-AU"/>
              </w:rPr>
              <w:t>Disability rates are higher for Māori</w:t>
            </w:r>
            <w:r w:rsidR="00DB427A">
              <w:rPr>
                <w:noProof/>
                <w:webHidden/>
              </w:rPr>
              <w:tab/>
            </w:r>
            <w:r w:rsidR="00DB427A">
              <w:rPr>
                <w:noProof/>
                <w:webHidden/>
              </w:rPr>
              <w:fldChar w:fldCharType="begin"/>
            </w:r>
            <w:r w:rsidR="00DB427A">
              <w:rPr>
                <w:noProof/>
                <w:webHidden/>
              </w:rPr>
              <w:instrText xml:space="preserve"> PAGEREF _Toc53379886 \h </w:instrText>
            </w:r>
            <w:r w:rsidR="00DB427A">
              <w:rPr>
                <w:noProof/>
                <w:webHidden/>
              </w:rPr>
            </w:r>
            <w:r w:rsidR="00DB427A">
              <w:rPr>
                <w:noProof/>
                <w:webHidden/>
              </w:rPr>
              <w:fldChar w:fldCharType="separate"/>
            </w:r>
            <w:r w:rsidR="00DB427A">
              <w:rPr>
                <w:noProof/>
                <w:webHidden/>
              </w:rPr>
              <w:t>16</w:t>
            </w:r>
            <w:r w:rsidR="00DB427A">
              <w:rPr>
                <w:noProof/>
                <w:webHidden/>
              </w:rPr>
              <w:fldChar w:fldCharType="end"/>
            </w:r>
          </w:hyperlink>
        </w:p>
        <w:p w14:paraId="378528C9" w14:textId="77777777" w:rsidR="00DB427A" w:rsidRDefault="00E5040F" w:rsidP="00DB427A">
          <w:pPr>
            <w:pStyle w:val="TOC3"/>
            <w:tabs>
              <w:tab w:val="right" w:leader="dot" w:pos="9016"/>
            </w:tabs>
            <w:rPr>
              <w:rFonts w:asciiTheme="minorHAnsi" w:eastAsiaTheme="minorEastAsia" w:hAnsiTheme="minorHAnsi" w:cstheme="minorBidi"/>
              <w:noProof/>
              <w:kern w:val="0"/>
              <w:szCs w:val="22"/>
              <w:lang w:val="en-NZ" w:eastAsia="en-NZ"/>
            </w:rPr>
          </w:pPr>
          <w:hyperlink w:anchor="_Toc53379887" w:history="1">
            <w:r w:rsidR="00DB427A" w:rsidRPr="003B03C9">
              <w:rPr>
                <w:rStyle w:val="Hyperlink"/>
                <w:rFonts w:eastAsiaTheme="majorEastAsia"/>
                <w:bCs/>
                <w:noProof/>
                <w:lang w:val="en-NZ" w:eastAsia="en-AU"/>
              </w:rPr>
              <w:t>Pacific people are also more likely to experience disability</w:t>
            </w:r>
            <w:r w:rsidR="00DB427A">
              <w:rPr>
                <w:noProof/>
                <w:webHidden/>
              </w:rPr>
              <w:tab/>
            </w:r>
            <w:r w:rsidR="00DB427A">
              <w:rPr>
                <w:noProof/>
                <w:webHidden/>
              </w:rPr>
              <w:fldChar w:fldCharType="begin"/>
            </w:r>
            <w:r w:rsidR="00DB427A">
              <w:rPr>
                <w:noProof/>
                <w:webHidden/>
              </w:rPr>
              <w:instrText xml:space="preserve"> PAGEREF _Toc53379887 \h </w:instrText>
            </w:r>
            <w:r w:rsidR="00DB427A">
              <w:rPr>
                <w:noProof/>
                <w:webHidden/>
              </w:rPr>
            </w:r>
            <w:r w:rsidR="00DB427A">
              <w:rPr>
                <w:noProof/>
                <w:webHidden/>
              </w:rPr>
              <w:fldChar w:fldCharType="separate"/>
            </w:r>
            <w:r w:rsidR="00DB427A">
              <w:rPr>
                <w:noProof/>
                <w:webHidden/>
              </w:rPr>
              <w:t>16</w:t>
            </w:r>
            <w:r w:rsidR="00DB427A">
              <w:rPr>
                <w:noProof/>
                <w:webHidden/>
              </w:rPr>
              <w:fldChar w:fldCharType="end"/>
            </w:r>
          </w:hyperlink>
        </w:p>
        <w:p w14:paraId="0A7A6A75" w14:textId="77777777" w:rsidR="00DB427A" w:rsidRDefault="00E5040F" w:rsidP="00DB427A">
          <w:pPr>
            <w:pStyle w:val="TOC2"/>
            <w:tabs>
              <w:tab w:val="right" w:leader="dot" w:pos="9016"/>
            </w:tabs>
            <w:rPr>
              <w:rFonts w:asciiTheme="minorHAnsi" w:eastAsiaTheme="minorEastAsia" w:hAnsiTheme="minorHAnsi" w:cstheme="minorBidi"/>
              <w:noProof/>
              <w:kern w:val="0"/>
              <w:szCs w:val="22"/>
              <w:lang w:val="en-NZ" w:eastAsia="en-NZ"/>
            </w:rPr>
          </w:pPr>
          <w:hyperlink w:anchor="_Toc53379888" w:history="1">
            <w:r w:rsidR="00DB427A" w:rsidRPr="003B03C9">
              <w:rPr>
                <w:rStyle w:val="Hyperlink"/>
                <w:noProof/>
              </w:rPr>
              <w:t>Matters that require your early attention</w:t>
            </w:r>
            <w:r w:rsidR="00DB427A">
              <w:rPr>
                <w:noProof/>
                <w:webHidden/>
              </w:rPr>
              <w:tab/>
            </w:r>
            <w:r w:rsidR="00DB427A">
              <w:rPr>
                <w:noProof/>
                <w:webHidden/>
              </w:rPr>
              <w:fldChar w:fldCharType="begin"/>
            </w:r>
            <w:r w:rsidR="00DB427A">
              <w:rPr>
                <w:noProof/>
                <w:webHidden/>
              </w:rPr>
              <w:instrText xml:space="preserve"> PAGEREF _Toc53379888 \h </w:instrText>
            </w:r>
            <w:r w:rsidR="00DB427A">
              <w:rPr>
                <w:noProof/>
                <w:webHidden/>
              </w:rPr>
            </w:r>
            <w:r w:rsidR="00DB427A">
              <w:rPr>
                <w:noProof/>
                <w:webHidden/>
              </w:rPr>
              <w:fldChar w:fldCharType="separate"/>
            </w:r>
            <w:r w:rsidR="00DB427A">
              <w:rPr>
                <w:noProof/>
                <w:webHidden/>
              </w:rPr>
              <w:t>17</w:t>
            </w:r>
            <w:r w:rsidR="00DB427A">
              <w:rPr>
                <w:noProof/>
                <w:webHidden/>
              </w:rPr>
              <w:fldChar w:fldCharType="end"/>
            </w:r>
          </w:hyperlink>
        </w:p>
        <w:p w14:paraId="1552D044" w14:textId="77777777" w:rsidR="00DB427A" w:rsidRDefault="00E5040F" w:rsidP="00DB427A">
          <w:pPr>
            <w:pStyle w:val="TOC3"/>
            <w:tabs>
              <w:tab w:val="right" w:leader="dot" w:pos="9016"/>
            </w:tabs>
            <w:rPr>
              <w:rFonts w:asciiTheme="minorHAnsi" w:eastAsiaTheme="minorEastAsia" w:hAnsiTheme="minorHAnsi" w:cstheme="minorBidi"/>
              <w:noProof/>
              <w:kern w:val="0"/>
              <w:szCs w:val="22"/>
              <w:lang w:val="en-NZ" w:eastAsia="en-NZ"/>
            </w:rPr>
          </w:pPr>
          <w:hyperlink w:anchor="_Toc53379889" w:history="1">
            <w:r w:rsidR="00DB427A" w:rsidRPr="003B03C9">
              <w:rPr>
                <w:rStyle w:val="Hyperlink"/>
                <w:rFonts w:eastAsiaTheme="majorEastAsia"/>
                <w:bCs/>
                <w:noProof/>
                <w:lang w:val="en-NZ" w:eastAsia="en-AU"/>
              </w:rPr>
              <w:t>We would like to discuss these key matters with you:</w:t>
            </w:r>
            <w:r w:rsidR="00DB427A">
              <w:rPr>
                <w:noProof/>
                <w:webHidden/>
              </w:rPr>
              <w:tab/>
            </w:r>
            <w:r w:rsidR="00DB427A">
              <w:rPr>
                <w:noProof/>
                <w:webHidden/>
              </w:rPr>
              <w:fldChar w:fldCharType="begin"/>
            </w:r>
            <w:r w:rsidR="00DB427A">
              <w:rPr>
                <w:noProof/>
                <w:webHidden/>
              </w:rPr>
              <w:instrText xml:space="preserve"> PAGEREF _Toc53379889 \h </w:instrText>
            </w:r>
            <w:r w:rsidR="00DB427A">
              <w:rPr>
                <w:noProof/>
                <w:webHidden/>
              </w:rPr>
            </w:r>
            <w:r w:rsidR="00DB427A">
              <w:rPr>
                <w:noProof/>
                <w:webHidden/>
              </w:rPr>
              <w:fldChar w:fldCharType="separate"/>
            </w:r>
            <w:r w:rsidR="00DB427A">
              <w:rPr>
                <w:noProof/>
                <w:webHidden/>
              </w:rPr>
              <w:t>17</w:t>
            </w:r>
            <w:r w:rsidR="00DB427A">
              <w:rPr>
                <w:noProof/>
                <w:webHidden/>
              </w:rPr>
              <w:fldChar w:fldCharType="end"/>
            </w:r>
          </w:hyperlink>
        </w:p>
        <w:p w14:paraId="250C784D" w14:textId="77777777" w:rsidR="00DB427A" w:rsidRDefault="00E5040F" w:rsidP="00DB427A">
          <w:pPr>
            <w:pStyle w:val="TOC3"/>
            <w:tabs>
              <w:tab w:val="right" w:leader="dot" w:pos="9016"/>
            </w:tabs>
            <w:rPr>
              <w:rFonts w:asciiTheme="minorHAnsi" w:eastAsiaTheme="minorEastAsia" w:hAnsiTheme="minorHAnsi" w:cstheme="minorBidi"/>
              <w:noProof/>
              <w:kern w:val="0"/>
              <w:szCs w:val="22"/>
              <w:lang w:val="en-NZ" w:eastAsia="en-NZ"/>
            </w:rPr>
          </w:pPr>
          <w:hyperlink w:anchor="_Toc53379890" w:history="1">
            <w:r w:rsidR="00DB427A" w:rsidRPr="003B03C9">
              <w:rPr>
                <w:rStyle w:val="Hyperlink"/>
                <w:rFonts w:eastAsiaTheme="majorEastAsia"/>
                <w:bCs/>
                <w:noProof/>
                <w:lang w:val="en-NZ" w:eastAsia="en-AU"/>
              </w:rPr>
              <w:t>Other activities you may wish to undertake include:</w:t>
            </w:r>
            <w:r w:rsidR="00DB427A">
              <w:rPr>
                <w:noProof/>
                <w:webHidden/>
              </w:rPr>
              <w:tab/>
            </w:r>
            <w:r w:rsidR="00DB427A">
              <w:rPr>
                <w:noProof/>
                <w:webHidden/>
              </w:rPr>
              <w:fldChar w:fldCharType="begin"/>
            </w:r>
            <w:r w:rsidR="00DB427A">
              <w:rPr>
                <w:noProof/>
                <w:webHidden/>
              </w:rPr>
              <w:instrText xml:space="preserve"> PAGEREF _Toc53379890 \h </w:instrText>
            </w:r>
            <w:r w:rsidR="00DB427A">
              <w:rPr>
                <w:noProof/>
                <w:webHidden/>
              </w:rPr>
            </w:r>
            <w:r w:rsidR="00DB427A">
              <w:rPr>
                <w:noProof/>
                <w:webHidden/>
              </w:rPr>
              <w:fldChar w:fldCharType="separate"/>
            </w:r>
            <w:r w:rsidR="00DB427A">
              <w:rPr>
                <w:noProof/>
                <w:webHidden/>
              </w:rPr>
              <w:t>17</w:t>
            </w:r>
            <w:r w:rsidR="00DB427A">
              <w:rPr>
                <w:noProof/>
                <w:webHidden/>
              </w:rPr>
              <w:fldChar w:fldCharType="end"/>
            </w:r>
          </w:hyperlink>
        </w:p>
        <w:p w14:paraId="6A6FF345" w14:textId="77777777" w:rsidR="00DB427A" w:rsidRDefault="00E5040F" w:rsidP="00DB427A">
          <w:pPr>
            <w:pStyle w:val="TOC3"/>
            <w:tabs>
              <w:tab w:val="right" w:leader="dot" w:pos="9016"/>
            </w:tabs>
            <w:rPr>
              <w:rFonts w:asciiTheme="minorHAnsi" w:eastAsiaTheme="minorEastAsia" w:hAnsiTheme="minorHAnsi" w:cstheme="minorBidi"/>
              <w:noProof/>
              <w:kern w:val="0"/>
              <w:szCs w:val="22"/>
              <w:lang w:val="en-NZ" w:eastAsia="en-NZ"/>
            </w:rPr>
          </w:pPr>
          <w:hyperlink w:anchor="_Toc53379891" w:history="1">
            <w:r w:rsidR="00DB427A" w:rsidRPr="003B03C9">
              <w:rPr>
                <w:rStyle w:val="Hyperlink"/>
                <w:rFonts w:eastAsiaTheme="majorEastAsia"/>
                <w:bCs/>
                <w:noProof/>
                <w:lang w:val="en-NZ" w:eastAsia="en-AU"/>
              </w:rPr>
              <w:t>The impact of growing demand for ODI advice</w:t>
            </w:r>
            <w:r w:rsidR="00DB427A">
              <w:rPr>
                <w:noProof/>
                <w:webHidden/>
              </w:rPr>
              <w:tab/>
            </w:r>
            <w:r w:rsidR="00DB427A">
              <w:rPr>
                <w:noProof/>
                <w:webHidden/>
              </w:rPr>
              <w:fldChar w:fldCharType="begin"/>
            </w:r>
            <w:r w:rsidR="00DB427A">
              <w:rPr>
                <w:noProof/>
                <w:webHidden/>
              </w:rPr>
              <w:instrText xml:space="preserve"> PAGEREF _Toc53379891 \h </w:instrText>
            </w:r>
            <w:r w:rsidR="00DB427A">
              <w:rPr>
                <w:noProof/>
                <w:webHidden/>
              </w:rPr>
            </w:r>
            <w:r w:rsidR="00DB427A">
              <w:rPr>
                <w:noProof/>
                <w:webHidden/>
              </w:rPr>
              <w:fldChar w:fldCharType="separate"/>
            </w:r>
            <w:r w:rsidR="00DB427A">
              <w:rPr>
                <w:noProof/>
                <w:webHidden/>
              </w:rPr>
              <w:t>18</w:t>
            </w:r>
            <w:r w:rsidR="00DB427A">
              <w:rPr>
                <w:noProof/>
                <w:webHidden/>
              </w:rPr>
              <w:fldChar w:fldCharType="end"/>
            </w:r>
          </w:hyperlink>
        </w:p>
        <w:p w14:paraId="63D47AFA" w14:textId="77777777" w:rsidR="00DB427A" w:rsidRDefault="00E5040F" w:rsidP="00DB427A">
          <w:pPr>
            <w:pStyle w:val="TOC3"/>
            <w:tabs>
              <w:tab w:val="right" w:leader="dot" w:pos="9016"/>
            </w:tabs>
            <w:rPr>
              <w:rFonts w:asciiTheme="minorHAnsi" w:eastAsiaTheme="minorEastAsia" w:hAnsiTheme="minorHAnsi" w:cstheme="minorBidi"/>
              <w:noProof/>
              <w:kern w:val="0"/>
              <w:szCs w:val="22"/>
              <w:lang w:val="en-NZ" w:eastAsia="en-NZ"/>
            </w:rPr>
          </w:pPr>
          <w:hyperlink w:anchor="_Toc53379892" w:history="1">
            <w:r w:rsidR="00DB427A" w:rsidRPr="003B03C9">
              <w:rPr>
                <w:rStyle w:val="Hyperlink"/>
                <w:rFonts w:eastAsiaTheme="majorEastAsia"/>
                <w:bCs/>
                <w:noProof/>
                <w:lang w:val="en-NZ" w:eastAsia="en-AU"/>
              </w:rPr>
              <w:t>Shifting the paradigm/settings</w:t>
            </w:r>
            <w:r w:rsidR="00DB427A">
              <w:rPr>
                <w:noProof/>
                <w:webHidden/>
              </w:rPr>
              <w:tab/>
            </w:r>
            <w:r w:rsidR="00DB427A">
              <w:rPr>
                <w:noProof/>
                <w:webHidden/>
              </w:rPr>
              <w:fldChar w:fldCharType="begin"/>
            </w:r>
            <w:r w:rsidR="00DB427A">
              <w:rPr>
                <w:noProof/>
                <w:webHidden/>
              </w:rPr>
              <w:instrText xml:space="preserve"> PAGEREF _Toc53379892 \h </w:instrText>
            </w:r>
            <w:r w:rsidR="00DB427A">
              <w:rPr>
                <w:noProof/>
                <w:webHidden/>
              </w:rPr>
            </w:r>
            <w:r w:rsidR="00DB427A">
              <w:rPr>
                <w:noProof/>
                <w:webHidden/>
              </w:rPr>
              <w:fldChar w:fldCharType="separate"/>
            </w:r>
            <w:r w:rsidR="00DB427A">
              <w:rPr>
                <w:noProof/>
                <w:webHidden/>
              </w:rPr>
              <w:t>18</w:t>
            </w:r>
            <w:r w:rsidR="00DB427A">
              <w:rPr>
                <w:noProof/>
                <w:webHidden/>
              </w:rPr>
              <w:fldChar w:fldCharType="end"/>
            </w:r>
          </w:hyperlink>
        </w:p>
        <w:p w14:paraId="697EABA6" w14:textId="77777777" w:rsidR="00DB427A" w:rsidRDefault="00E5040F" w:rsidP="00DB427A">
          <w:pPr>
            <w:pStyle w:val="TOC2"/>
            <w:tabs>
              <w:tab w:val="right" w:leader="dot" w:pos="9016"/>
            </w:tabs>
            <w:rPr>
              <w:rFonts w:asciiTheme="minorHAnsi" w:eastAsiaTheme="minorEastAsia" w:hAnsiTheme="minorHAnsi" w:cstheme="minorBidi"/>
              <w:noProof/>
              <w:kern w:val="0"/>
              <w:szCs w:val="22"/>
              <w:lang w:val="en-NZ" w:eastAsia="en-NZ"/>
            </w:rPr>
          </w:pPr>
          <w:hyperlink w:anchor="_Toc53379893" w:history="1">
            <w:r w:rsidR="00DB427A" w:rsidRPr="003B03C9">
              <w:rPr>
                <w:rStyle w:val="Hyperlink"/>
                <w:noProof/>
              </w:rPr>
              <w:t>Appendix 1 – ODI’s current work programme</w:t>
            </w:r>
            <w:r w:rsidR="00DB427A">
              <w:rPr>
                <w:noProof/>
                <w:webHidden/>
              </w:rPr>
              <w:tab/>
            </w:r>
            <w:r w:rsidR="00DB427A">
              <w:rPr>
                <w:noProof/>
                <w:webHidden/>
              </w:rPr>
              <w:fldChar w:fldCharType="begin"/>
            </w:r>
            <w:r w:rsidR="00DB427A">
              <w:rPr>
                <w:noProof/>
                <w:webHidden/>
              </w:rPr>
              <w:instrText xml:space="preserve"> PAGEREF _Toc53379893 \h </w:instrText>
            </w:r>
            <w:r w:rsidR="00DB427A">
              <w:rPr>
                <w:noProof/>
                <w:webHidden/>
              </w:rPr>
            </w:r>
            <w:r w:rsidR="00DB427A">
              <w:rPr>
                <w:noProof/>
                <w:webHidden/>
              </w:rPr>
              <w:fldChar w:fldCharType="separate"/>
            </w:r>
            <w:r w:rsidR="00DB427A">
              <w:rPr>
                <w:noProof/>
                <w:webHidden/>
              </w:rPr>
              <w:t>19</w:t>
            </w:r>
            <w:r w:rsidR="00DB427A">
              <w:rPr>
                <w:noProof/>
                <w:webHidden/>
              </w:rPr>
              <w:fldChar w:fldCharType="end"/>
            </w:r>
          </w:hyperlink>
        </w:p>
        <w:p w14:paraId="3B8BEF8C" w14:textId="77777777" w:rsidR="00DB427A" w:rsidRDefault="00E5040F" w:rsidP="00DB427A">
          <w:pPr>
            <w:pStyle w:val="TOC2"/>
            <w:tabs>
              <w:tab w:val="right" w:leader="dot" w:pos="9016"/>
            </w:tabs>
            <w:rPr>
              <w:rFonts w:asciiTheme="minorHAnsi" w:eastAsiaTheme="minorEastAsia" w:hAnsiTheme="minorHAnsi" w:cstheme="minorBidi"/>
              <w:noProof/>
              <w:kern w:val="0"/>
              <w:szCs w:val="22"/>
              <w:lang w:val="en-NZ" w:eastAsia="en-NZ"/>
            </w:rPr>
          </w:pPr>
          <w:hyperlink w:anchor="_Toc53379894" w:history="1">
            <w:r w:rsidR="00DB427A" w:rsidRPr="003B03C9">
              <w:rPr>
                <w:rStyle w:val="Hyperlink"/>
                <w:noProof/>
              </w:rPr>
              <w:t>Appendix 2 - Key contacts for the Office for Disability Issues</w:t>
            </w:r>
            <w:r w:rsidR="00DB427A">
              <w:rPr>
                <w:noProof/>
                <w:webHidden/>
              </w:rPr>
              <w:tab/>
            </w:r>
            <w:r w:rsidR="00DB427A">
              <w:rPr>
                <w:noProof/>
                <w:webHidden/>
              </w:rPr>
              <w:fldChar w:fldCharType="begin"/>
            </w:r>
            <w:r w:rsidR="00DB427A">
              <w:rPr>
                <w:noProof/>
                <w:webHidden/>
              </w:rPr>
              <w:instrText xml:space="preserve"> PAGEREF _Toc53379894 \h </w:instrText>
            </w:r>
            <w:r w:rsidR="00DB427A">
              <w:rPr>
                <w:noProof/>
                <w:webHidden/>
              </w:rPr>
            </w:r>
            <w:r w:rsidR="00DB427A">
              <w:rPr>
                <w:noProof/>
                <w:webHidden/>
              </w:rPr>
              <w:fldChar w:fldCharType="separate"/>
            </w:r>
            <w:r w:rsidR="00DB427A">
              <w:rPr>
                <w:noProof/>
                <w:webHidden/>
              </w:rPr>
              <w:t>20</w:t>
            </w:r>
            <w:r w:rsidR="00DB427A">
              <w:rPr>
                <w:noProof/>
                <w:webHidden/>
              </w:rPr>
              <w:fldChar w:fldCharType="end"/>
            </w:r>
          </w:hyperlink>
        </w:p>
        <w:p w14:paraId="0271AB73" w14:textId="77777777" w:rsidR="00DB427A" w:rsidRDefault="00E5040F" w:rsidP="00DB427A">
          <w:pPr>
            <w:pStyle w:val="TOC2"/>
            <w:tabs>
              <w:tab w:val="right" w:leader="dot" w:pos="9016"/>
            </w:tabs>
            <w:rPr>
              <w:rFonts w:asciiTheme="minorHAnsi" w:eastAsiaTheme="minorEastAsia" w:hAnsiTheme="minorHAnsi" w:cstheme="minorBidi"/>
              <w:noProof/>
              <w:kern w:val="0"/>
              <w:szCs w:val="22"/>
              <w:lang w:val="en-NZ" w:eastAsia="en-NZ"/>
            </w:rPr>
          </w:pPr>
          <w:hyperlink w:anchor="_Toc53379895" w:history="1">
            <w:r w:rsidR="00DB427A" w:rsidRPr="003B03C9">
              <w:rPr>
                <w:rStyle w:val="Hyperlink"/>
                <w:noProof/>
              </w:rPr>
              <w:t>Appendix 3 - DPO Coalition Briefing to the Incoming Minister</w:t>
            </w:r>
            <w:r w:rsidR="00DB427A">
              <w:rPr>
                <w:noProof/>
                <w:webHidden/>
              </w:rPr>
              <w:tab/>
            </w:r>
            <w:r w:rsidR="00DB427A">
              <w:rPr>
                <w:noProof/>
                <w:webHidden/>
              </w:rPr>
              <w:fldChar w:fldCharType="begin"/>
            </w:r>
            <w:r w:rsidR="00DB427A">
              <w:rPr>
                <w:noProof/>
                <w:webHidden/>
              </w:rPr>
              <w:instrText xml:space="preserve"> PAGEREF _Toc53379895 \h </w:instrText>
            </w:r>
            <w:r w:rsidR="00DB427A">
              <w:rPr>
                <w:noProof/>
                <w:webHidden/>
              </w:rPr>
            </w:r>
            <w:r w:rsidR="00DB427A">
              <w:rPr>
                <w:noProof/>
                <w:webHidden/>
              </w:rPr>
              <w:fldChar w:fldCharType="separate"/>
            </w:r>
            <w:r w:rsidR="00DB427A">
              <w:rPr>
                <w:noProof/>
                <w:webHidden/>
              </w:rPr>
              <w:t>21</w:t>
            </w:r>
            <w:r w:rsidR="00DB427A">
              <w:rPr>
                <w:noProof/>
                <w:webHidden/>
              </w:rPr>
              <w:fldChar w:fldCharType="end"/>
            </w:r>
          </w:hyperlink>
        </w:p>
        <w:p w14:paraId="5DCB093B" w14:textId="77777777" w:rsidR="00DB427A" w:rsidRDefault="00E5040F" w:rsidP="00DB427A">
          <w:pPr>
            <w:pStyle w:val="TOC2"/>
            <w:tabs>
              <w:tab w:val="right" w:leader="dot" w:pos="9016"/>
            </w:tabs>
            <w:rPr>
              <w:rFonts w:asciiTheme="minorHAnsi" w:eastAsiaTheme="minorEastAsia" w:hAnsiTheme="minorHAnsi" w:cstheme="minorBidi"/>
              <w:noProof/>
              <w:kern w:val="0"/>
              <w:szCs w:val="22"/>
              <w:lang w:val="en-NZ" w:eastAsia="en-NZ"/>
            </w:rPr>
          </w:pPr>
          <w:hyperlink w:anchor="_Toc53379896" w:history="1">
            <w:r w:rsidR="00DB427A" w:rsidRPr="003B03C9">
              <w:rPr>
                <w:rStyle w:val="Hyperlink"/>
                <w:noProof/>
              </w:rPr>
              <w:t>Appendix 4 - NZSL Board Briefing to the Incoming Minister</w:t>
            </w:r>
            <w:r w:rsidR="00DB427A">
              <w:rPr>
                <w:noProof/>
                <w:webHidden/>
              </w:rPr>
              <w:tab/>
            </w:r>
            <w:r w:rsidR="00DB427A">
              <w:rPr>
                <w:noProof/>
                <w:webHidden/>
              </w:rPr>
              <w:fldChar w:fldCharType="begin"/>
            </w:r>
            <w:r w:rsidR="00DB427A">
              <w:rPr>
                <w:noProof/>
                <w:webHidden/>
              </w:rPr>
              <w:instrText xml:space="preserve"> PAGEREF _Toc53379896 \h </w:instrText>
            </w:r>
            <w:r w:rsidR="00DB427A">
              <w:rPr>
                <w:noProof/>
                <w:webHidden/>
              </w:rPr>
            </w:r>
            <w:r w:rsidR="00DB427A">
              <w:rPr>
                <w:noProof/>
                <w:webHidden/>
              </w:rPr>
              <w:fldChar w:fldCharType="separate"/>
            </w:r>
            <w:r w:rsidR="00DB427A">
              <w:rPr>
                <w:noProof/>
                <w:webHidden/>
              </w:rPr>
              <w:t>24</w:t>
            </w:r>
            <w:r w:rsidR="00DB427A">
              <w:rPr>
                <w:noProof/>
                <w:webHidden/>
              </w:rPr>
              <w:fldChar w:fldCharType="end"/>
            </w:r>
          </w:hyperlink>
        </w:p>
        <w:p w14:paraId="512E0DF4" w14:textId="77777777" w:rsidR="00DB427A" w:rsidRDefault="00E5040F" w:rsidP="00DB427A">
          <w:pPr>
            <w:pStyle w:val="TOC2"/>
            <w:tabs>
              <w:tab w:val="right" w:leader="dot" w:pos="9016"/>
            </w:tabs>
            <w:rPr>
              <w:rFonts w:asciiTheme="minorHAnsi" w:eastAsiaTheme="minorEastAsia" w:hAnsiTheme="minorHAnsi" w:cstheme="minorBidi"/>
              <w:noProof/>
              <w:kern w:val="0"/>
              <w:szCs w:val="22"/>
              <w:lang w:val="en-NZ" w:eastAsia="en-NZ"/>
            </w:rPr>
          </w:pPr>
          <w:hyperlink w:anchor="_Toc53379897" w:history="1">
            <w:r w:rsidR="00DB427A" w:rsidRPr="003B03C9">
              <w:rPr>
                <w:rStyle w:val="Hyperlink"/>
                <w:noProof/>
              </w:rPr>
              <w:t>Appendix 5 – Key disability-related stakeholders</w:t>
            </w:r>
            <w:r w:rsidR="00DB427A">
              <w:rPr>
                <w:noProof/>
                <w:webHidden/>
              </w:rPr>
              <w:tab/>
            </w:r>
            <w:r w:rsidR="00DB427A">
              <w:rPr>
                <w:noProof/>
                <w:webHidden/>
              </w:rPr>
              <w:fldChar w:fldCharType="begin"/>
            </w:r>
            <w:r w:rsidR="00DB427A">
              <w:rPr>
                <w:noProof/>
                <w:webHidden/>
              </w:rPr>
              <w:instrText xml:space="preserve"> PAGEREF _Toc53379897 \h </w:instrText>
            </w:r>
            <w:r w:rsidR="00DB427A">
              <w:rPr>
                <w:noProof/>
                <w:webHidden/>
              </w:rPr>
            </w:r>
            <w:r w:rsidR="00DB427A">
              <w:rPr>
                <w:noProof/>
                <w:webHidden/>
              </w:rPr>
              <w:fldChar w:fldCharType="separate"/>
            </w:r>
            <w:r w:rsidR="00DB427A">
              <w:rPr>
                <w:noProof/>
                <w:webHidden/>
              </w:rPr>
              <w:t>25</w:t>
            </w:r>
            <w:r w:rsidR="00DB427A">
              <w:rPr>
                <w:noProof/>
                <w:webHidden/>
              </w:rPr>
              <w:fldChar w:fldCharType="end"/>
            </w:r>
          </w:hyperlink>
        </w:p>
        <w:p w14:paraId="6EDA1B3C" w14:textId="77777777" w:rsidR="00DB427A" w:rsidRDefault="00DB427A" w:rsidP="00DB427A">
          <w:pPr>
            <w:rPr>
              <w:noProof/>
            </w:rPr>
          </w:pPr>
          <w:r>
            <w:rPr>
              <w:b/>
              <w:bCs/>
              <w:noProof/>
            </w:rPr>
            <w:fldChar w:fldCharType="end"/>
          </w:r>
        </w:p>
      </w:sdtContent>
    </w:sdt>
    <w:p w14:paraId="03BE8EB4" w14:textId="58F79339" w:rsidR="00DB427A" w:rsidRPr="008034F7" w:rsidRDefault="00DB427A" w:rsidP="008034F7">
      <w:pPr>
        <w:tabs>
          <w:tab w:val="center" w:pos="4513"/>
        </w:tabs>
        <w:rPr>
          <w:noProof/>
        </w:rPr>
        <w:sectPr w:rsidR="00DB427A" w:rsidRPr="008034F7">
          <w:headerReference w:type="default" r:id="rId9"/>
          <w:pgSz w:w="11906" w:h="16838"/>
          <w:pgMar w:top="1440" w:right="1440" w:bottom="1440" w:left="1440" w:header="708" w:footer="708" w:gutter="0"/>
          <w:cols w:space="708"/>
          <w:docGrid w:linePitch="360"/>
        </w:sectPr>
      </w:pPr>
    </w:p>
    <w:p w14:paraId="40753887" w14:textId="77777777" w:rsidR="00DB427A" w:rsidRPr="00142E9E" w:rsidRDefault="00DB427A" w:rsidP="00DB427A">
      <w:pPr>
        <w:pStyle w:val="Heading2"/>
        <w:framePr w:wrap="notBeside" w:vAnchor="text" w:hAnchor="text" w:y="1"/>
        <w:spacing w:before="240"/>
        <w:rPr>
          <w:color w:val="121F6B"/>
          <w:sz w:val="36"/>
          <w:szCs w:val="20"/>
        </w:rPr>
      </w:pPr>
      <w:bookmarkStart w:id="6" w:name="_Toc53379873"/>
      <w:r w:rsidRPr="00142E9E">
        <w:rPr>
          <w:color w:val="121F6B"/>
          <w:sz w:val="36"/>
          <w:szCs w:val="20"/>
        </w:rPr>
        <w:lastRenderedPageBreak/>
        <w:t xml:space="preserve">Welcome to the </w:t>
      </w:r>
      <w:r>
        <w:rPr>
          <w:color w:val="121F6B"/>
          <w:sz w:val="36"/>
          <w:szCs w:val="20"/>
        </w:rPr>
        <w:t xml:space="preserve">Disability Issues </w:t>
      </w:r>
      <w:r w:rsidRPr="00142E9E">
        <w:rPr>
          <w:color w:val="121F6B"/>
          <w:sz w:val="36"/>
          <w:szCs w:val="20"/>
        </w:rPr>
        <w:t>portfolio</w:t>
      </w:r>
      <w:bookmarkEnd w:id="6"/>
    </w:p>
    <w:p w14:paraId="6C06622A" w14:textId="77777777" w:rsidR="00DB427A" w:rsidRPr="00C91718" w:rsidRDefault="00DB427A" w:rsidP="00DB427A">
      <w:pPr>
        <w:pStyle w:val="Bodyintrotext"/>
      </w:pPr>
      <w:proofErr w:type="gramStart"/>
      <w:r w:rsidRPr="00C91718">
        <w:t>The Office for Disability Issues</w:t>
      </w:r>
      <w:r>
        <w:t>,</w:t>
      </w:r>
      <w:proofErr w:type="gramEnd"/>
      <w:r w:rsidRPr="00C91718">
        <w:t xml:space="preserve"> </w:t>
      </w:r>
      <w:r>
        <w:t xml:space="preserve">Te </w:t>
      </w:r>
      <w:proofErr w:type="spellStart"/>
      <w:r>
        <w:t>Tarī</w:t>
      </w:r>
      <w:proofErr w:type="spellEnd"/>
      <w:r>
        <w:t xml:space="preserve"> </w:t>
      </w:r>
      <w:proofErr w:type="spellStart"/>
      <w:r>
        <w:t>Mō</w:t>
      </w:r>
      <w:proofErr w:type="spellEnd"/>
      <w:r>
        <w:t xml:space="preserve"> Ngā Take </w:t>
      </w:r>
      <w:proofErr w:type="spellStart"/>
      <w:r>
        <w:t>Hauātanga</w:t>
      </w:r>
      <w:proofErr w:type="spellEnd"/>
      <w:r>
        <w:t>, (</w:t>
      </w:r>
      <w:r w:rsidRPr="006E3758">
        <w:t>ODI</w:t>
      </w:r>
      <w:r>
        <w:t xml:space="preserve">) </w:t>
      </w:r>
      <w:r w:rsidRPr="00C91718">
        <w:t xml:space="preserve">looks forward to working with you and discussing the most effective ways we can support you and your priorities as Minister. </w:t>
      </w:r>
    </w:p>
    <w:p w14:paraId="4BF0DE44" w14:textId="77777777" w:rsidR="00DB427A" w:rsidRPr="00C91718" w:rsidRDefault="00DB427A" w:rsidP="00DB427A">
      <w:r w:rsidRPr="00C91718">
        <w:t>This briefing provides you with initial information on:</w:t>
      </w:r>
    </w:p>
    <w:p w14:paraId="728BBE07" w14:textId="77777777" w:rsidR="00DB427A" w:rsidRPr="00C91718" w:rsidRDefault="00DB427A" w:rsidP="00DB427A">
      <w:pPr>
        <w:pStyle w:val="ListParagraph"/>
        <w:numPr>
          <w:ilvl w:val="0"/>
          <w:numId w:val="9"/>
        </w:numPr>
        <w:ind w:left="426"/>
      </w:pPr>
      <w:r w:rsidRPr="00C91718">
        <w:t xml:space="preserve">your role and responsibilities as the Minister responsible for disability issues </w:t>
      </w:r>
    </w:p>
    <w:p w14:paraId="7605FEE3" w14:textId="77777777" w:rsidR="00DB427A" w:rsidRPr="006E3758" w:rsidRDefault="00DB427A" w:rsidP="00DB427A">
      <w:pPr>
        <w:pStyle w:val="ListParagraph"/>
        <w:numPr>
          <w:ilvl w:val="0"/>
          <w:numId w:val="9"/>
        </w:numPr>
        <w:ind w:left="426"/>
      </w:pPr>
      <w:r w:rsidRPr="006E3758">
        <w:t>the disparity in outcomes experienced by disabled people in New Zealand</w:t>
      </w:r>
    </w:p>
    <w:p w14:paraId="5F103D7A" w14:textId="77777777" w:rsidR="00DB427A" w:rsidRPr="00C91718" w:rsidRDefault="00DB427A" w:rsidP="00DB427A">
      <w:pPr>
        <w:pStyle w:val="ListParagraph"/>
        <w:numPr>
          <w:ilvl w:val="0"/>
          <w:numId w:val="9"/>
        </w:numPr>
        <w:ind w:left="426"/>
      </w:pPr>
      <w:r w:rsidRPr="00C91718">
        <w:t xml:space="preserve">the key decisions and matters requiring your attention, including the future direction of the portfolio. </w:t>
      </w:r>
    </w:p>
    <w:p w14:paraId="0D136AA2" w14:textId="77777777" w:rsidR="00DB427A" w:rsidRDefault="00DB427A" w:rsidP="00DB427A">
      <w:r w:rsidRPr="00C91718">
        <w:t xml:space="preserve">It also introduces you to </w:t>
      </w:r>
      <w:r>
        <w:t>ODI</w:t>
      </w:r>
      <w:r w:rsidRPr="00C91718">
        <w:t xml:space="preserve"> and key stakeholders.</w:t>
      </w:r>
    </w:p>
    <w:p w14:paraId="3CEE7F40" w14:textId="77777777" w:rsidR="00DB427A" w:rsidRPr="001B18F2" w:rsidRDefault="00DB427A" w:rsidP="00DB427A">
      <w:pPr>
        <w:pStyle w:val="Heading3"/>
        <w:keepNext/>
        <w:keepLines/>
        <w:framePr w:wrap="notBeside" w:vAnchor="text" w:hAnchor="text" w:y="1"/>
        <w:spacing w:before="240"/>
        <w:rPr>
          <w:rFonts w:eastAsiaTheme="majorEastAsia"/>
          <w:bCs/>
          <w:color w:val="121F6B"/>
          <w:kern w:val="0"/>
          <w:szCs w:val="22"/>
          <w:lang w:val="en-NZ" w:eastAsia="en-AU"/>
        </w:rPr>
      </w:pPr>
      <w:bookmarkStart w:id="7" w:name="_Toc50988074"/>
      <w:bookmarkStart w:id="8" w:name="_Toc53379874"/>
      <w:r w:rsidRPr="001B18F2">
        <w:rPr>
          <w:rFonts w:eastAsiaTheme="majorEastAsia"/>
          <w:bCs/>
          <w:color w:val="121F6B"/>
          <w:kern w:val="0"/>
          <w:szCs w:val="22"/>
          <w:lang w:val="en-NZ" w:eastAsia="en-AU"/>
        </w:rPr>
        <w:t>Appropriation responsibilities</w:t>
      </w:r>
      <w:bookmarkEnd w:id="7"/>
      <w:bookmarkEnd w:id="8"/>
    </w:p>
    <w:p w14:paraId="24948F25" w14:textId="77777777" w:rsidR="00DB427A" w:rsidRPr="00D01611" w:rsidRDefault="00DB427A" w:rsidP="00DB427A">
      <w:pPr>
        <w:pStyle w:val="Bodyintrotext"/>
      </w:pPr>
      <w:r w:rsidRPr="00D01611">
        <w:t xml:space="preserve">You are the appropriation Minister for the departmental appropriation </w:t>
      </w:r>
      <w:r w:rsidRPr="004349D0">
        <w:rPr>
          <w:b/>
          <w:i/>
        </w:rPr>
        <w:t>Promoting Positive Outcomes for Disabilities</w:t>
      </w:r>
      <w:r w:rsidRPr="00D01611">
        <w:t xml:space="preserve"> within Vote Social Development.</w:t>
      </w:r>
    </w:p>
    <w:p w14:paraId="7244508F" w14:textId="77777777" w:rsidR="00DB427A" w:rsidRPr="00D01611" w:rsidRDefault="00DB427A" w:rsidP="00DB427A">
      <w:r w:rsidRPr="00D01611">
        <w:t>This is the appropriation for providing services to promote and monitor the implementation of the New Zealand Disability Strategy 2016-2026 and the New Zealand Sign Language Strategy 2018-2023, to monitor and implement the UNCRPD, and to provide information and advice to Ministers and other agencies on disability matters.</w:t>
      </w:r>
    </w:p>
    <w:p w14:paraId="41D38126" w14:textId="787F5C74" w:rsidR="00DB427A" w:rsidRPr="00D01611" w:rsidRDefault="00DB427A" w:rsidP="00DB427A">
      <w:r w:rsidRPr="00D01611">
        <w:t>For 2019/2020, the appropriation’s $</w:t>
      </w:r>
      <w:r w:rsidR="00AB1A3B">
        <w:t>7.198</w:t>
      </w:r>
      <w:r>
        <w:t xml:space="preserve"> million</w:t>
      </w:r>
      <w:r w:rsidRPr="00D01611">
        <w:t xml:space="preserve"> provided baseline funding: </w:t>
      </w:r>
    </w:p>
    <w:p w14:paraId="6A0E6ABD" w14:textId="77777777" w:rsidR="00DB427A" w:rsidRPr="00D01611" w:rsidRDefault="00DB427A" w:rsidP="00DB427A">
      <w:pPr>
        <w:pStyle w:val="Bullet1"/>
        <w:numPr>
          <w:ilvl w:val="0"/>
          <w:numId w:val="2"/>
        </w:numPr>
        <w:tabs>
          <w:tab w:val="clear" w:pos="360"/>
          <w:tab w:val="clear" w:pos="454"/>
        </w:tabs>
        <w:ind w:left="284" w:hanging="284"/>
        <w:rPr>
          <w:lang w:val="en-NZ"/>
        </w:rPr>
      </w:pPr>
      <w:r>
        <w:rPr>
          <w:lang w:val="en-NZ"/>
        </w:rPr>
        <w:t xml:space="preserve">the work of </w:t>
      </w:r>
      <w:r>
        <w:t xml:space="preserve">ODI </w:t>
      </w:r>
    </w:p>
    <w:p w14:paraId="4621CFFE" w14:textId="77777777" w:rsidR="00DB427A" w:rsidRPr="00D01611" w:rsidRDefault="00DB427A" w:rsidP="00DB427A">
      <w:pPr>
        <w:pStyle w:val="Bullet1"/>
        <w:numPr>
          <w:ilvl w:val="0"/>
          <w:numId w:val="2"/>
        </w:numPr>
        <w:tabs>
          <w:tab w:val="clear" w:pos="360"/>
          <w:tab w:val="clear" w:pos="454"/>
        </w:tabs>
        <w:ind w:left="284" w:hanging="284"/>
        <w:rPr>
          <w:lang w:val="en-NZ"/>
        </w:rPr>
      </w:pPr>
      <w:r w:rsidRPr="00D01611">
        <w:rPr>
          <w:lang w:val="en-NZ"/>
        </w:rPr>
        <w:t>supporting the work of the DPO Coalition and the NZSL Board</w:t>
      </w:r>
    </w:p>
    <w:p w14:paraId="1A351C5E" w14:textId="77777777" w:rsidR="00DB427A" w:rsidRPr="00D01611" w:rsidRDefault="00DB427A" w:rsidP="00DB427A">
      <w:pPr>
        <w:pStyle w:val="Bullet1"/>
        <w:numPr>
          <w:ilvl w:val="0"/>
          <w:numId w:val="2"/>
        </w:numPr>
        <w:tabs>
          <w:tab w:val="clear" w:pos="360"/>
          <w:tab w:val="clear" w:pos="454"/>
        </w:tabs>
        <w:ind w:left="284" w:hanging="284"/>
        <w:rPr>
          <w:lang w:val="en-NZ"/>
        </w:rPr>
      </w:pPr>
      <w:r w:rsidRPr="00D01611">
        <w:rPr>
          <w:lang w:val="en-NZ"/>
        </w:rPr>
        <w:t xml:space="preserve">monitoring, led by disabled people, of disabled people’s rights </w:t>
      </w:r>
    </w:p>
    <w:p w14:paraId="028DF481" w14:textId="77777777" w:rsidR="00DB427A" w:rsidRPr="00C91718" w:rsidRDefault="00DB427A" w:rsidP="00DB427A">
      <w:pPr>
        <w:pStyle w:val="Bullet1"/>
        <w:numPr>
          <w:ilvl w:val="0"/>
          <w:numId w:val="2"/>
        </w:numPr>
        <w:tabs>
          <w:tab w:val="clear" w:pos="360"/>
          <w:tab w:val="clear" w:pos="454"/>
        </w:tabs>
        <w:ind w:left="284" w:hanging="284"/>
      </w:pPr>
      <w:r w:rsidRPr="00D01611">
        <w:rPr>
          <w:lang w:val="en-NZ"/>
        </w:rPr>
        <w:t>initiatives</w:t>
      </w:r>
      <w:r w:rsidRPr="00D01611">
        <w:t xml:space="preserve"> and contracts supported by the NZSL Fund ($2,068,824).</w:t>
      </w:r>
    </w:p>
    <w:p w14:paraId="1AE9AEBD" w14:textId="77777777" w:rsidR="00DB427A" w:rsidRPr="001B18F2" w:rsidRDefault="00DB427A" w:rsidP="00DB427A">
      <w:pPr>
        <w:pStyle w:val="Heading3"/>
        <w:keepNext/>
        <w:keepLines/>
        <w:spacing w:before="240"/>
        <w:rPr>
          <w:rFonts w:eastAsiaTheme="majorEastAsia"/>
          <w:bCs/>
          <w:color w:val="121F6B"/>
          <w:kern w:val="0"/>
          <w:szCs w:val="22"/>
          <w:lang w:val="en-NZ" w:eastAsia="en-AU"/>
        </w:rPr>
      </w:pPr>
      <w:bookmarkStart w:id="9" w:name="_Toc50988060"/>
      <w:bookmarkStart w:id="10" w:name="_Toc53379875"/>
      <w:r w:rsidRPr="001B18F2">
        <w:rPr>
          <w:rFonts w:eastAsiaTheme="majorEastAsia"/>
          <w:bCs/>
          <w:color w:val="121F6B"/>
          <w:kern w:val="0"/>
          <w:szCs w:val="22"/>
          <w:lang w:val="en-NZ" w:eastAsia="en-AU"/>
        </w:rPr>
        <w:t>The Office for Disability Issues reports to and supports your role as Minister for Disability Issues</w:t>
      </w:r>
      <w:bookmarkEnd w:id="9"/>
      <w:bookmarkEnd w:id="10"/>
    </w:p>
    <w:p w14:paraId="11E15325" w14:textId="77777777" w:rsidR="00DB427A" w:rsidRDefault="00DB427A" w:rsidP="00DB427A">
      <w:r w:rsidRPr="00C91718">
        <w:t xml:space="preserve">Since 2002, </w:t>
      </w:r>
      <w:r>
        <w:t>ODI</w:t>
      </w:r>
      <w:r w:rsidRPr="00C91718">
        <w:t xml:space="preserve"> has supported the Minister for Disability Issues. </w:t>
      </w:r>
      <w:r w:rsidRPr="006E3758">
        <w:t>The ODI team of 13.6 FTE is</w:t>
      </w:r>
      <w:r w:rsidRPr="00B8264C">
        <w:t xml:space="preserve"> led by a Director and is based in the Disability, Seniors and International </w:t>
      </w:r>
      <w:r>
        <w:t>P</w:t>
      </w:r>
      <w:r w:rsidRPr="00B8264C">
        <w:t xml:space="preserve">olicy </w:t>
      </w:r>
      <w:r>
        <w:t>team</w:t>
      </w:r>
      <w:r w:rsidRPr="00B8264C">
        <w:t xml:space="preserve"> </w:t>
      </w:r>
      <w:r>
        <w:t>in the</w:t>
      </w:r>
      <w:r w:rsidRPr="00B8264C">
        <w:t xml:space="preserve"> </w:t>
      </w:r>
      <w:r w:rsidRPr="00F204DA">
        <w:t>Ministry of Social Development (</w:t>
      </w:r>
      <w:r w:rsidRPr="006E3758">
        <w:t>MSD</w:t>
      </w:r>
      <w:r w:rsidRPr="00F204DA">
        <w:t>)</w:t>
      </w:r>
      <w:r w:rsidRPr="00B8264C">
        <w:t xml:space="preserve">. </w:t>
      </w:r>
      <w:r w:rsidRPr="006E3758">
        <w:t>The ODI team does not have a service provision role or fund services for disabled people.</w:t>
      </w:r>
    </w:p>
    <w:p w14:paraId="0C3F6BB1" w14:textId="77777777" w:rsidR="00DB427A" w:rsidRDefault="00DB427A" w:rsidP="00DB427A">
      <w:r w:rsidRPr="00BD5A2E">
        <w:t>We act as a focal point in government on disability issues. We support implementation in New Zealand of the United Nations Convention on the Rights of Persons with Disabilities</w:t>
      </w:r>
      <w:r>
        <w:t xml:space="preserve"> (</w:t>
      </w:r>
      <w:r w:rsidRPr="006E3758">
        <w:t>UNCRPD</w:t>
      </w:r>
      <w:r>
        <w:t>)</w:t>
      </w:r>
      <w:r w:rsidRPr="00BD5A2E">
        <w:t xml:space="preserve"> and the New Zealand Disability Strategy </w:t>
      </w:r>
      <w:r w:rsidRPr="00BD5A2E">
        <w:lastRenderedPageBreak/>
        <w:t xml:space="preserve">and work towards a vision of New Zealand as a non-disabling society, where disabled people have an equal opportunity to achieve their goals and aspirations. </w:t>
      </w:r>
    </w:p>
    <w:p w14:paraId="78131015" w14:textId="77777777" w:rsidR="00DB427A" w:rsidRDefault="00DB427A" w:rsidP="00DB427A">
      <w:r w:rsidRPr="00B8264C">
        <w:t>In addition to serving the Minister for Disability Issues, ODI is an advisor to the public and across government on disability issues. We work closely with the disability community and seek to amplify the voice of disabled people within government.</w:t>
      </w:r>
      <w:r>
        <w:t xml:space="preserve"> </w:t>
      </w:r>
      <w:r w:rsidRPr="00B8264C">
        <w:t xml:space="preserve">We have been active in influencing other agencies and bringing attention to issues that affect disabled people and their communities. </w:t>
      </w:r>
    </w:p>
    <w:p w14:paraId="0E5CEAF8" w14:textId="77777777" w:rsidR="00DB427A" w:rsidRPr="00B8264C" w:rsidRDefault="00DB427A" w:rsidP="00DB427A">
      <w:r>
        <w:t>T</w:t>
      </w:r>
      <w:r w:rsidRPr="008F235D">
        <w:t>he core priorities of ODI’s current work programme, including cross-agency contributions</w:t>
      </w:r>
      <w:r>
        <w:t xml:space="preserve">, are outlined in </w:t>
      </w:r>
      <w:r w:rsidRPr="008F235D">
        <w:t>Appendix 1. We look forward to discussing th</w:t>
      </w:r>
      <w:r>
        <w:t>ese</w:t>
      </w:r>
      <w:r w:rsidRPr="008F235D">
        <w:t xml:space="preserve"> with you. Appendix 2 provides a list of key contacts for ODI.</w:t>
      </w:r>
    </w:p>
    <w:p w14:paraId="1DAEF0F5" w14:textId="77777777" w:rsidR="00DB427A" w:rsidRPr="001B18F2" w:rsidRDefault="00DB427A" w:rsidP="00DB427A">
      <w:pPr>
        <w:pStyle w:val="Heading3"/>
        <w:keepNext/>
        <w:keepLines/>
        <w:spacing w:before="240"/>
        <w:rPr>
          <w:rFonts w:eastAsiaTheme="majorEastAsia"/>
          <w:bCs/>
          <w:color w:val="121F6B"/>
          <w:kern w:val="0"/>
          <w:szCs w:val="22"/>
          <w:lang w:val="en-NZ" w:eastAsia="en-AU"/>
        </w:rPr>
      </w:pPr>
      <w:bookmarkStart w:id="11" w:name="_Toc53379876"/>
      <w:r w:rsidRPr="001B18F2">
        <w:rPr>
          <w:rFonts w:eastAsiaTheme="majorEastAsia"/>
          <w:bCs/>
          <w:color w:val="121F6B"/>
          <w:kern w:val="0"/>
          <w:szCs w:val="22"/>
          <w:lang w:val="en-NZ" w:eastAsia="en-AU"/>
        </w:rPr>
        <w:t>Disability, Seniors and International Policy team</w:t>
      </w:r>
      <w:bookmarkEnd w:id="11"/>
    </w:p>
    <w:p w14:paraId="5B5E97B5" w14:textId="77777777" w:rsidR="00DB427A" w:rsidRDefault="00DB427A" w:rsidP="00DB427A">
      <w:bookmarkStart w:id="12" w:name="_Hlk53148160"/>
      <w:r>
        <w:rPr>
          <w:lang w:val="en-NZ" w:eastAsia="en-AU"/>
        </w:rPr>
        <w:t xml:space="preserve">The Disability, Seniors and International Policy team is responsible for </w:t>
      </w:r>
      <w:r>
        <w:t xml:space="preserve">disability-focused policy development and advice within MSD and cross-government disability work </w:t>
      </w:r>
      <w:proofErr w:type="spellStart"/>
      <w:r>
        <w:t>programmes</w:t>
      </w:r>
      <w:proofErr w:type="spellEnd"/>
      <w:r>
        <w:t>, such as actions under the Disability Action Plan, that you have Ministerial responsibility for.</w:t>
      </w:r>
    </w:p>
    <w:p w14:paraId="56EED724" w14:textId="77777777" w:rsidR="00DB427A" w:rsidRPr="00FB3D4C" w:rsidRDefault="00DB427A" w:rsidP="00DB427A">
      <w:r>
        <w:t xml:space="preserve">MSD’s Disability, Seniors and International Policy team also has responsibility for the Enabling Good Lives demonstration in the Waikato. Enabling good lives is an approach to supporting disabled people that offers greater choice and control over the support they receive. </w:t>
      </w:r>
    </w:p>
    <w:bookmarkEnd w:id="12"/>
    <w:p w14:paraId="23C0587F" w14:textId="77777777" w:rsidR="00DB427A" w:rsidRDefault="00DB427A" w:rsidP="00DB427A">
      <w:r>
        <w:t>While the team is accountable to the Minister for Social Development, with agreement from the Minister of Social Development they can also support your portfolio and provide you with policy advice, on key issues.</w:t>
      </w:r>
    </w:p>
    <w:p w14:paraId="250FC081" w14:textId="77777777" w:rsidR="00DB427A" w:rsidRPr="00CF2B7B" w:rsidRDefault="00DB427A" w:rsidP="00DB427A">
      <w:pPr>
        <w:pStyle w:val="Bullet1"/>
        <w:numPr>
          <w:ilvl w:val="0"/>
          <w:numId w:val="0"/>
        </w:numPr>
        <w:tabs>
          <w:tab w:val="clear" w:pos="454"/>
        </w:tabs>
        <w:ind w:left="567" w:hanging="567"/>
      </w:pPr>
      <w:r w:rsidRPr="00CF2B7B">
        <w:rPr>
          <w:rFonts w:ascii="Arial" w:hAnsi="Arial"/>
          <w:sz w:val="24"/>
          <w:szCs w:val="24"/>
          <w:lang w:val="en-NZ"/>
        </w:rPr>
        <w:br w:type="page"/>
      </w:r>
    </w:p>
    <w:p w14:paraId="6858C976" w14:textId="77777777" w:rsidR="00DB427A" w:rsidRPr="00142E9E" w:rsidRDefault="00DB427A" w:rsidP="00DB427A">
      <w:pPr>
        <w:pStyle w:val="Heading2"/>
        <w:framePr w:wrap="notBeside" w:vAnchor="text" w:hAnchor="text" w:y="1"/>
        <w:spacing w:before="240"/>
        <w:rPr>
          <w:color w:val="121F6B"/>
          <w:sz w:val="36"/>
          <w:szCs w:val="20"/>
        </w:rPr>
      </w:pPr>
      <w:bookmarkStart w:id="13" w:name="_Toc50988067"/>
      <w:bookmarkStart w:id="14" w:name="_Toc53379877"/>
      <w:r w:rsidRPr="00142E9E">
        <w:rPr>
          <w:color w:val="121F6B"/>
          <w:sz w:val="36"/>
          <w:szCs w:val="20"/>
        </w:rPr>
        <w:lastRenderedPageBreak/>
        <w:t>You have key roles and responsibilities</w:t>
      </w:r>
      <w:bookmarkEnd w:id="13"/>
      <w:bookmarkEnd w:id="14"/>
      <w:r w:rsidRPr="00142E9E">
        <w:rPr>
          <w:color w:val="121F6B"/>
          <w:sz w:val="36"/>
          <w:szCs w:val="20"/>
        </w:rPr>
        <w:t xml:space="preserve"> </w:t>
      </w:r>
    </w:p>
    <w:p w14:paraId="3135A157" w14:textId="77777777" w:rsidR="00DB427A" w:rsidRPr="00303A55" w:rsidRDefault="00DB427A" w:rsidP="00DB427A">
      <w:pPr>
        <w:pStyle w:val="Bodyintrotext"/>
        <w:rPr>
          <w:color w:val="auto"/>
          <w:sz w:val="22"/>
          <w:szCs w:val="22"/>
        </w:rPr>
      </w:pPr>
      <w:r w:rsidRPr="00303A55">
        <w:rPr>
          <w:color w:val="auto"/>
          <w:sz w:val="22"/>
          <w:szCs w:val="22"/>
        </w:rPr>
        <w:t xml:space="preserve">Your primary role as Minister for Disability Issues is to lead and advocate for the rights of, and opportunities for, disabled people across all Government portfolios. </w:t>
      </w:r>
    </w:p>
    <w:p w14:paraId="717B488A" w14:textId="77777777" w:rsidR="00DB427A" w:rsidRPr="00303A55" w:rsidRDefault="00DB427A" w:rsidP="00DB427A">
      <w:pPr>
        <w:pStyle w:val="Bodyintrotext"/>
        <w:rPr>
          <w:color w:val="auto"/>
          <w:sz w:val="22"/>
          <w:szCs w:val="22"/>
        </w:rPr>
      </w:pPr>
      <w:r w:rsidRPr="00303A55">
        <w:rPr>
          <w:color w:val="auto"/>
          <w:sz w:val="22"/>
          <w:szCs w:val="22"/>
        </w:rPr>
        <w:t xml:space="preserve">There are important mechanisms in place or under development that progress the rights and opportunities for disabled people. These include the Disability Strategy 2016-2026 and Disability Action Plan 2019-2023, the systematic and ongoing engagement of disabled people through their representative organisations, and policy work on accessibility. </w:t>
      </w:r>
    </w:p>
    <w:p w14:paraId="219AD058" w14:textId="77777777" w:rsidR="00DB427A" w:rsidRPr="00C91718" w:rsidRDefault="00DB427A" w:rsidP="00DB427A">
      <w:r w:rsidRPr="00C91718">
        <w:t xml:space="preserve">While progress for disabled people as a population group is achieved across all Government portfolios, the four key portfolios </w:t>
      </w:r>
      <w:r>
        <w:t xml:space="preserve">for you </w:t>
      </w:r>
      <w:r w:rsidRPr="00C91718">
        <w:t>to remain close to are those for the agencies through which</w:t>
      </w:r>
      <w:r>
        <w:t xml:space="preserve"> the</w:t>
      </w:r>
      <w:r w:rsidRPr="00C91718">
        <w:t xml:space="preserve"> </w:t>
      </w:r>
      <w:r w:rsidRPr="00036A38">
        <w:t>majority of services and supports for disabled people (including children and young people) and their family/whānau are funded:</w:t>
      </w:r>
    </w:p>
    <w:p w14:paraId="4B377D56" w14:textId="77777777" w:rsidR="00DB427A" w:rsidRPr="00D01611" w:rsidRDefault="00DB427A" w:rsidP="00DB427A">
      <w:pPr>
        <w:pStyle w:val="Bullet1"/>
        <w:numPr>
          <w:ilvl w:val="0"/>
          <w:numId w:val="2"/>
        </w:numPr>
        <w:tabs>
          <w:tab w:val="clear" w:pos="360"/>
          <w:tab w:val="clear" w:pos="454"/>
        </w:tabs>
        <w:ind w:left="284" w:hanging="284"/>
        <w:rPr>
          <w:lang w:val="en-NZ"/>
        </w:rPr>
      </w:pPr>
      <w:r w:rsidRPr="00D01611">
        <w:rPr>
          <w:lang w:val="en-NZ"/>
        </w:rPr>
        <w:t>the Ministry of Health (Disability Directorate)</w:t>
      </w:r>
    </w:p>
    <w:p w14:paraId="2AD01D04" w14:textId="77777777" w:rsidR="00DB427A" w:rsidRPr="00D01611" w:rsidRDefault="00DB427A" w:rsidP="00DB427A">
      <w:pPr>
        <w:pStyle w:val="Bullet1"/>
        <w:numPr>
          <w:ilvl w:val="0"/>
          <w:numId w:val="2"/>
        </w:numPr>
        <w:tabs>
          <w:tab w:val="clear" w:pos="360"/>
          <w:tab w:val="clear" w:pos="454"/>
        </w:tabs>
        <w:ind w:left="284" w:hanging="284"/>
        <w:rPr>
          <w:lang w:val="en-NZ"/>
        </w:rPr>
      </w:pPr>
      <w:r w:rsidRPr="00D01611">
        <w:rPr>
          <w:lang w:val="en-NZ"/>
        </w:rPr>
        <w:t>the Ministry of Education</w:t>
      </w:r>
    </w:p>
    <w:p w14:paraId="0CF5F4F4" w14:textId="77777777" w:rsidR="00DB427A" w:rsidRPr="00D01611" w:rsidRDefault="00DB427A" w:rsidP="00DB427A">
      <w:pPr>
        <w:pStyle w:val="Bullet1"/>
        <w:numPr>
          <w:ilvl w:val="0"/>
          <w:numId w:val="2"/>
        </w:numPr>
        <w:tabs>
          <w:tab w:val="clear" w:pos="360"/>
          <w:tab w:val="clear" w:pos="454"/>
        </w:tabs>
        <w:ind w:left="284" w:hanging="284"/>
        <w:rPr>
          <w:lang w:val="en-NZ"/>
        </w:rPr>
      </w:pPr>
      <w:r w:rsidRPr="00D01611">
        <w:rPr>
          <w:lang w:val="en-NZ"/>
        </w:rPr>
        <w:t xml:space="preserve">the Ministry of Social Development </w:t>
      </w:r>
    </w:p>
    <w:p w14:paraId="52C2E797" w14:textId="77777777" w:rsidR="00DB427A" w:rsidRPr="00D01611" w:rsidRDefault="00DB427A" w:rsidP="00DB427A">
      <w:pPr>
        <w:pStyle w:val="Bullet1"/>
        <w:numPr>
          <w:ilvl w:val="0"/>
          <w:numId w:val="2"/>
        </w:numPr>
        <w:tabs>
          <w:tab w:val="clear" w:pos="360"/>
          <w:tab w:val="clear" w:pos="454"/>
        </w:tabs>
        <w:ind w:left="284" w:hanging="284"/>
        <w:rPr>
          <w:lang w:val="en-NZ"/>
        </w:rPr>
      </w:pPr>
      <w:r w:rsidRPr="00D01611">
        <w:rPr>
          <w:lang w:val="en-NZ"/>
        </w:rPr>
        <w:t xml:space="preserve">the Accident Compensation Commission. </w:t>
      </w:r>
    </w:p>
    <w:p w14:paraId="1A3B797A" w14:textId="77777777" w:rsidR="00DB427A" w:rsidRDefault="00DB427A" w:rsidP="00DB427A">
      <w:r w:rsidRPr="006E3758">
        <w:t>There have been recent significant budget increases</w:t>
      </w:r>
      <w:r w:rsidRPr="00036A38">
        <w:t xml:space="preserve"> </w:t>
      </w:r>
      <w:r w:rsidRPr="006E3758">
        <w:t>across the</w:t>
      </w:r>
      <w:r>
        <w:t>se</w:t>
      </w:r>
      <w:r w:rsidRPr="006E3758">
        <w:t xml:space="preserve"> </w:t>
      </w:r>
      <w:r>
        <w:t xml:space="preserve">agencies for these </w:t>
      </w:r>
      <w:r w:rsidRPr="006E3758">
        <w:t>services and support</w:t>
      </w:r>
      <w:r>
        <w:t>s.</w:t>
      </w:r>
      <w:r w:rsidRPr="00C91718">
        <w:t xml:space="preserve"> </w:t>
      </w:r>
    </w:p>
    <w:p w14:paraId="76B00D31" w14:textId="77777777" w:rsidR="00DB427A" w:rsidRPr="00C91718" w:rsidRDefault="00DB427A" w:rsidP="00DB427A">
      <w:r w:rsidRPr="00C91718">
        <w:t xml:space="preserve">The following </w:t>
      </w:r>
      <w:r>
        <w:t>agencies</w:t>
      </w:r>
      <w:r w:rsidRPr="00C91718">
        <w:t xml:space="preserve"> also have a significant impact on the lives of disabled people: </w:t>
      </w:r>
    </w:p>
    <w:p w14:paraId="5AF702C4" w14:textId="77777777" w:rsidR="00DB427A" w:rsidRPr="00D01611" w:rsidRDefault="00DB427A" w:rsidP="00DB427A">
      <w:pPr>
        <w:pStyle w:val="Bullet1"/>
        <w:numPr>
          <w:ilvl w:val="0"/>
          <w:numId w:val="2"/>
        </w:numPr>
        <w:tabs>
          <w:tab w:val="clear" w:pos="360"/>
          <w:tab w:val="clear" w:pos="454"/>
        </w:tabs>
        <w:ind w:left="284" w:hanging="284"/>
        <w:rPr>
          <w:lang w:val="en-NZ"/>
        </w:rPr>
      </w:pPr>
      <w:r w:rsidRPr="00D01611">
        <w:rPr>
          <w:lang w:val="en-NZ"/>
        </w:rPr>
        <w:t>the Ministry of Transport</w:t>
      </w:r>
    </w:p>
    <w:p w14:paraId="5131FDAE" w14:textId="77777777" w:rsidR="00DB427A" w:rsidRPr="00D01611" w:rsidRDefault="00DB427A" w:rsidP="00DB427A">
      <w:pPr>
        <w:pStyle w:val="Bullet1"/>
        <w:numPr>
          <w:ilvl w:val="0"/>
          <w:numId w:val="2"/>
        </w:numPr>
        <w:tabs>
          <w:tab w:val="clear" w:pos="360"/>
          <w:tab w:val="clear" w:pos="454"/>
        </w:tabs>
        <w:ind w:left="284" w:hanging="284"/>
        <w:rPr>
          <w:lang w:val="en-NZ"/>
        </w:rPr>
      </w:pPr>
      <w:r w:rsidRPr="00D01611">
        <w:rPr>
          <w:lang w:val="en-NZ"/>
        </w:rPr>
        <w:t>the Ministry for Business</w:t>
      </w:r>
      <w:r>
        <w:rPr>
          <w:lang w:val="en-NZ"/>
        </w:rPr>
        <w:t>,</w:t>
      </w:r>
      <w:r w:rsidRPr="00D01611">
        <w:rPr>
          <w:lang w:val="en-NZ"/>
        </w:rPr>
        <w:t xml:space="preserve"> Innovation and Employment</w:t>
      </w:r>
    </w:p>
    <w:p w14:paraId="05DDEC4F" w14:textId="77777777" w:rsidR="00DB427A" w:rsidRDefault="00DB427A" w:rsidP="00DB427A">
      <w:pPr>
        <w:pStyle w:val="Bullet1"/>
        <w:numPr>
          <w:ilvl w:val="0"/>
          <w:numId w:val="2"/>
        </w:numPr>
        <w:tabs>
          <w:tab w:val="clear" w:pos="360"/>
          <w:tab w:val="clear" w:pos="454"/>
        </w:tabs>
        <w:ind w:left="284" w:hanging="284"/>
        <w:rPr>
          <w:lang w:val="en-NZ"/>
        </w:rPr>
      </w:pPr>
      <w:proofErr w:type="spellStart"/>
      <w:r w:rsidRPr="00D01611">
        <w:rPr>
          <w:lang w:val="en-NZ"/>
        </w:rPr>
        <w:t>Kāinga</w:t>
      </w:r>
      <w:proofErr w:type="spellEnd"/>
      <w:r w:rsidRPr="00D01611">
        <w:rPr>
          <w:lang w:val="en-NZ"/>
        </w:rPr>
        <w:t xml:space="preserve"> Ora</w:t>
      </w:r>
    </w:p>
    <w:p w14:paraId="2DBF3BFC" w14:textId="77777777" w:rsidR="00DB427A" w:rsidRPr="00D01611" w:rsidRDefault="00DB427A" w:rsidP="00DB427A">
      <w:pPr>
        <w:pStyle w:val="Bullet1"/>
        <w:numPr>
          <w:ilvl w:val="0"/>
          <w:numId w:val="2"/>
        </w:numPr>
        <w:tabs>
          <w:tab w:val="clear" w:pos="360"/>
          <w:tab w:val="clear" w:pos="454"/>
        </w:tabs>
        <w:ind w:left="284" w:hanging="284"/>
        <w:rPr>
          <w:lang w:val="en-NZ"/>
        </w:rPr>
      </w:pPr>
      <w:r w:rsidRPr="00D01611">
        <w:rPr>
          <w:lang w:val="en-NZ"/>
        </w:rPr>
        <w:t>the Ministry for Housing and Urban Development</w:t>
      </w:r>
    </w:p>
    <w:p w14:paraId="1C6D0F9C" w14:textId="77777777" w:rsidR="00DB427A" w:rsidRPr="00D01611" w:rsidRDefault="00DB427A" w:rsidP="00DB427A">
      <w:pPr>
        <w:pStyle w:val="Bullet1"/>
        <w:numPr>
          <w:ilvl w:val="0"/>
          <w:numId w:val="2"/>
        </w:numPr>
        <w:tabs>
          <w:tab w:val="clear" w:pos="360"/>
          <w:tab w:val="clear" w:pos="454"/>
        </w:tabs>
        <w:ind w:left="284" w:hanging="284"/>
        <w:rPr>
          <w:lang w:val="en-NZ"/>
        </w:rPr>
      </w:pPr>
      <w:r w:rsidRPr="00D01611">
        <w:rPr>
          <w:lang w:val="en-NZ"/>
        </w:rPr>
        <w:t>Statistics NZ</w:t>
      </w:r>
    </w:p>
    <w:p w14:paraId="1EFC9E14" w14:textId="77777777" w:rsidR="00DB427A" w:rsidRPr="00D01611" w:rsidRDefault="00DB427A" w:rsidP="00DB427A">
      <w:pPr>
        <w:pStyle w:val="Bullet1"/>
        <w:numPr>
          <w:ilvl w:val="0"/>
          <w:numId w:val="2"/>
        </w:numPr>
        <w:tabs>
          <w:tab w:val="clear" w:pos="360"/>
          <w:tab w:val="clear" w:pos="454"/>
        </w:tabs>
        <w:ind w:left="284" w:hanging="284"/>
        <w:rPr>
          <w:lang w:val="en-NZ"/>
        </w:rPr>
      </w:pPr>
      <w:r w:rsidRPr="00D01611">
        <w:rPr>
          <w:lang w:val="en-NZ"/>
        </w:rPr>
        <w:t>the Ministry of Cultur</w:t>
      </w:r>
      <w:r>
        <w:rPr>
          <w:lang w:val="en-NZ"/>
        </w:rPr>
        <w:t>e</w:t>
      </w:r>
      <w:r w:rsidRPr="00D01611">
        <w:rPr>
          <w:lang w:val="en-NZ"/>
        </w:rPr>
        <w:t xml:space="preserve"> and Heritage</w:t>
      </w:r>
    </w:p>
    <w:p w14:paraId="5C4926E7" w14:textId="77777777" w:rsidR="00DB427A" w:rsidRPr="00D01611" w:rsidRDefault="00DB427A" w:rsidP="00DB427A">
      <w:pPr>
        <w:pStyle w:val="Bullet1"/>
        <w:numPr>
          <w:ilvl w:val="0"/>
          <w:numId w:val="2"/>
        </w:numPr>
        <w:tabs>
          <w:tab w:val="clear" w:pos="360"/>
          <w:tab w:val="clear" w:pos="454"/>
        </w:tabs>
        <w:ind w:left="284" w:hanging="284"/>
        <w:rPr>
          <w:lang w:val="en-NZ"/>
        </w:rPr>
      </w:pPr>
      <w:r w:rsidRPr="00D01611">
        <w:rPr>
          <w:lang w:val="en-NZ"/>
        </w:rPr>
        <w:t xml:space="preserve">the Ministry for Justice </w:t>
      </w:r>
    </w:p>
    <w:p w14:paraId="7D664A40" w14:textId="77777777" w:rsidR="00DB427A" w:rsidRPr="00D01611" w:rsidRDefault="00DB427A" w:rsidP="00DB427A">
      <w:pPr>
        <w:pStyle w:val="Bullet1"/>
        <w:numPr>
          <w:ilvl w:val="0"/>
          <w:numId w:val="2"/>
        </w:numPr>
        <w:tabs>
          <w:tab w:val="clear" w:pos="360"/>
          <w:tab w:val="clear" w:pos="454"/>
        </w:tabs>
        <w:ind w:left="284" w:hanging="284"/>
        <w:rPr>
          <w:lang w:val="en-NZ"/>
        </w:rPr>
      </w:pPr>
      <w:proofErr w:type="spellStart"/>
      <w:r w:rsidRPr="00D01611">
        <w:rPr>
          <w:lang w:val="en-NZ"/>
        </w:rPr>
        <w:t>Oranga</w:t>
      </w:r>
      <w:proofErr w:type="spellEnd"/>
      <w:r w:rsidRPr="00D01611">
        <w:rPr>
          <w:lang w:val="en-NZ"/>
        </w:rPr>
        <w:t xml:space="preserve"> Tamariki. </w:t>
      </w:r>
    </w:p>
    <w:p w14:paraId="583B6D63" w14:textId="77777777" w:rsidR="00DB427A" w:rsidRPr="00C91718" w:rsidRDefault="00DB427A" w:rsidP="00DB427A">
      <w:r w:rsidRPr="00C91718">
        <w:t xml:space="preserve">Outside of government, you work closely with the disability community, including through the </w:t>
      </w:r>
      <w:r w:rsidRPr="00942B25">
        <w:t>DPO</w:t>
      </w:r>
      <w:r w:rsidRPr="00C91718">
        <w:t xml:space="preserve"> Coalition</w:t>
      </w:r>
      <w:r>
        <w:rPr>
          <w:rFonts w:ascii="Arial" w:hAnsi="Arial"/>
          <w:sz w:val="24"/>
          <w:szCs w:val="24"/>
          <w:lang w:val="en-NZ"/>
        </w:rPr>
        <w:t xml:space="preserve">. </w:t>
      </w:r>
      <w:r w:rsidRPr="00CF1AF7">
        <w:t>The DPO Coalition</w:t>
      </w:r>
      <w:r w:rsidRPr="008D6E1F">
        <w:rPr>
          <w:rStyle w:val="FootnoteReference"/>
          <w:sz w:val="24"/>
          <w:szCs w:val="24"/>
        </w:rPr>
        <w:footnoteReference w:id="1"/>
      </w:r>
      <w:r w:rsidRPr="00CF1AF7">
        <w:t xml:space="preserve"> is a group of national membership-led </w:t>
      </w:r>
      <w:proofErr w:type="spellStart"/>
      <w:r w:rsidRPr="00CF1AF7">
        <w:t>organisations</w:t>
      </w:r>
      <w:proofErr w:type="spellEnd"/>
      <w:r w:rsidRPr="00CF1AF7">
        <w:t xml:space="preserve"> established to give effect to Article 4.3 and Article 33.3 of the UNCRPD. These articles oblige State Parties to “closely consult with </w:t>
      </w:r>
      <w:r w:rsidRPr="00CF1AF7">
        <w:lastRenderedPageBreak/>
        <w:t xml:space="preserve">and actively involve persons with disabilities, including children with disabilities and their representative </w:t>
      </w:r>
      <w:proofErr w:type="spellStart"/>
      <w:r w:rsidRPr="00CF1AF7">
        <w:t>organisations</w:t>
      </w:r>
      <w:proofErr w:type="spellEnd"/>
      <w:r w:rsidRPr="00CF1AF7">
        <w:t>”.</w:t>
      </w:r>
      <w:r w:rsidRPr="00C91718">
        <w:t xml:space="preserve"> </w:t>
      </w:r>
    </w:p>
    <w:p w14:paraId="7AE05DC8" w14:textId="77777777" w:rsidR="00DB427A" w:rsidRPr="00C91718" w:rsidRDefault="00DB427A" w:rsidP="00DB427A">
      <w:r w:rsidRPr="00C91718">
        <w:t>The DPO Coalition brings considerable experience in representing the views and aspirations of disabled people.</w:t>
      </w:r>
      <w:r>
        <w:t xml:space="preserve"> </w:t>
      </w:r>
      <w:r w:rsidRPr="00C91718">
        <w:t xml:space="preserve">Disability service providers also provide valuable insights into disability issues. They welcome opportunities to engage with you. </w:t>
      </w:r>
    </w:p>
    <w:p w14:paraId="0C7AB44D" w14:textId="77777777" w:rsidR="00DB427A" w:rsidRPr="006E3758" w:rsidRDefault="00DB427A" w:rsidP="00DB427A">
      <w:r w:rsidRPr="00C91718">
        <w:t xml:space="preserve">The DPO Coalition has provided a contribution to this briefing at Appendix </w:t>
      </w:r>
      <w:r>
        <w:t>3</w:t>
      </w:r>
      <w:r w:rsidRPr="00C91718">
        <w:t xml:space="preserve"> for your consideration.</w:t>
      </w:r>
      <w:r>
        <w:t xml:space="preserve"> This reflects the increasing </w:t>
      </w:r>
      <w:r w:rsidRPr="00C91718">
        <w:t>government agenc</w:t>
      </w:r>
      <w:r>
        <w:t xml:space="preserve">y use in </w:t>
      </w:r>
      <w:r w:rsidRPr="00C91718">
        <w:t>recent years</w:t>
      </w:r>
      <w:r>
        <w:t xml:space="preserve"> of </w:t>
      </w:r>
      <w:r w:rsidRPr="00C91718">
        <w:t>co-design for disability</w:t>
      </w:r>
      <w:r>
        <w:t>-</w:t>
      </w:r>
      <w:r w:rsidRPr="00C91718">
        <w:t>related</w:t>
      </w:r>
      <w:r>
        <w:t xml:space="preserve"> </w:t>
      </w:r>
      <w:r w:rsidRPr="00C91718">
        <w:t xml:space="preserve">policy. </w:t>
      </w:r>
      <w:r w:rsidRPr="006E3758">
        <w:t>Co-design approaches are leading to improvements in</w:t>
      </w:r>
      <w:r>
        <w:t>:</w:t>
      </w:r>
      <w:r w:rsidRPr="006E3758">
        <w:t xml:space="preserve"> </w:t>
      </w:r>
    </w:p>
    <w:p w14:paraId="5A639E26" w14:textId="77777777" w:rsidR="00DB427A" w:rsidRPr="00D11092" w:rsidRDefault="00DB427A" w:rsidP="00DB427A">
      <w:pPr>
        <w:pStyle w:val="Bullet1"/>
        <w:numPr>
          <w:ilvl w:val="0"/>
          <w:numId w:val="10"/>
        </w:numPr>
        <w:tabs>
          <w:tab w:val="clear" w:pos="454"/>
        </w:tabs>
        <w:ind w:left="709"/>
        <w:rPr>
          <w:lang w:val="en-NZ"/>
        </w:rPr>
      </w:pPr>
      <w:r w:rsidRPr="00D11092">
        <w:rPr>
          <w:lang w:val="en-NZ"/>
        </w:rPr>
        <w:t xml:space="preserve">choice and control for disabled people </w:t>
      </w:r>
    </w:p>
    <w:p w14:paraId="3AB71024" w14:textId="77777777" w:rsidR="00DB427A" w:rsidRPr="00D11092" w:rsidRDefault="00DB427A" w:rsidP="00DB427A">
      <w:pPr>
        <w:pStyle w:val="Bullet1"/>
        <w:numPr>
          <w:ilvl w:val="0"/>
          <w:numId w:val="10"/>
        </w:numPr>
        <w:tabs>
          <w:tab w:val="clear" w:pos="454"/>
        </w:tabs>
        <w:ind w:left="709"/>
        <w:rPr>
          <w:lang w:val="en-NZ"/>
        </w:rPr>
      </w:pPr>
      <w:r w:rsidRPr="00D11092">
        <w:rPr>
          <w:lang w:val="en-NZ"/>
        </w:rPr>
        <w:t xml:space="preserve">reasonable accommodations in employment relationships </w:t>
      </w:r>
    </w:p>
    <w:p w14:paraId="1BF303FB" w14:textId="77777777" w:rsidR="00DB427A" w:rsidRPr="00D11092" w:rsidRDefault="00DB427A" w:rsidP="00DB427A">
      <w:pPr>
        <w:pStyle w:val="Bullet1"/>
        <w:numPr>
          <w:ilvl w:val="0"/>
          <w:numId w:val="10"/>
        </w:numPr>
        <w:tabs>
          <w:tab w:val="clear" w:pos="454"/>
        </w:tabs>
        <w:ind w:left="709"/>
        <w:rPr>
          <w:lang w:val="en-NZ"/>
        </w:rPr>
      </w:pPr>
      <w:r w:rsidRPr="00D11092">
        <w:rPr>
          <w:lang w:val="en-NZ"/>
        </w:rPr>
        <w:t>clarifying expectations around inclusive education</w:t>
      </w:r>
    </w:p>
    <w:p w14:paraId="54EC71EC" w14:textId="77777777" w:rsidR="00DB427A" w:rsidRPr="00D11092" w:rsidRDefault="00DB427A" w:rsidP="00DB427A">
      <w:pPr>
        <w:pStyle w:val="Bullet1"/>
        <w:numPr>
          <w:ilvl w:val="0"/>
          <w:numId w:val="10"/>
        </w:numPr>
        <w:tabs>
          <w:tab w:val="clear" w:pos="454"/>
        </w:tabs>
        <w:ind w:left="709"/>
        <w:rPr>
          <w:lang w:val="en-NZ"/>
        </w:rPr>
      </w:pPr>
      <w:r w:rsidRPr="00D11092">
        <w:rPr>
          <w:lang w:val="en-NZ"/>
        </w:rPr>
        <w:t xml:space="preserve">elimination of seclusion and restraint. </w:t>
      </w:r>
    </w:p>
    <w:p w14:paraId="0DDB5E5A" w14:textId="77777777" w:rsidR="00DB427A" w:rsidRPr="00C91718" w:rsidRDefault="00DB427A" w:rsidP="00DB427A">
      <w:r w:rsidRPr="00C91718">
        <w:t xml:space="preserve">Our Te </w:t>
      </w:r>
      <w:proofErr w:type="spellStart"/>
      <w:r w:rsidRPr="00C91718">
        <w:t>Tiriti</w:t>
      </w:r>
      <w:proofErr w:type="spellEnd"/>
      <w:r w:rsidRPr="00C91718">
        <w:t xml:space="preserve"> o Waitangi obligations require you to closely consult and engage with Māori. This </w:t>
      </w:r>
      <w:r>
        <w:t xml:space="preserve">obligation </w:t>
      </w:r>
      <w:r w:rsidRPr="00C91718">
        <w:t>sits alongside consultation and engagement with the wider disability community, including disabled youth, Pacific peoples, families</w:t>
      </w:r>
      <w:r>
        <w:t>,</w:t>
      </w:r>
      <w:r w:rsidRPr="00C91718">
        <w:t xml:space="preserve"> and whānau.</w:t>
      </w:r>
    </w:p>
    <w:p w14:paraId="33BF6096" w14:textId="77777777" w:rsidR="00DB427A" w:rsidRPr="00C91718" w:rsidRDefault="00DB427A" w:rsidP="00DB427A">
      <w:r w:rsidRPr="00C91718">
        <w:t xml:space="preserve">You have direct responsibility for, and have stewardship over, the following: </w:t>
      </w:r>
    </w:p>
    <w:p w14:paraId="4FE935AE" w14:textId="77777777" w:rsidR="00DB427A" w:rsidRPr="00D11092" w:rsidRDefault="00DB427A" w:rsidP="00DB427A">
      <w:pPr>
        <w:pStyle w:val="Bullet1"/>
        <w:numPr>
          <w:ilvl w:val="0"/>
          <w:numId w:val="2"/>
        </w:numPr>
        <w:tabs>
          <w:tab w:val="clear" w:pos="360"/>
          <w:tab w:val="clear" w:pos="454"/>
        </w:tabs>
        <w:ind w:left="284" w:hanging="284"/>
        <w:rPr>
          <w:lang w:val="en-NZ"/>
        </w:rPr>
      </w:pPr>
      <w:r w:rsidRPr="00D11092">
        <w:rPr>
          <w:lang w:val="en-NZ"/>
        </w:rPr>
        <w:t>the New Zealand Disability Strategy 2016-2026 (Disability Strategy)</w:t>
      </w:r>
    </w:p>
    <w:p w14:paraId="40BD3039" w14:textId="77777777" w:rsidR="00DB427A" w:rsidRPr="00D11092" w:rsidRDefault="00DB427A" w:rsidP="00DB427A">
      <w:pPr>
        <w:pStyle w:val="Bullet1"/>
        <w:numPr>
          <w:ilvl w:val="0"/>
          <w:numId w:val="2"/>
        </w:numPr>
        <w:tabs>
          <w:tab w:val="clear" w:pos="360"/>
          <w:tab w:val="clear" w:pos="454"/>
        </w:tabs>
        <w:ind w:left="284" w:hanging="284"/>
        <w:rPr>
          <w:lang w:val="en-NZ"/>
        </w:rPr>
      </w:pPr>
      <w:r w:rsidRPr="00D11092">
        <w:rPr>
          <w:lang w:val="en-NZ"/>
        </w:rPr>
        <w:t xml:space="preserve">the Disability Action Plan 2019-2023 (Disability Action Plan) </w:t>
      </w:r>
    </w:p>
    <w:p w14:paraId="34EFD6A5" w14:textId="77777777" w:rsidR="00DB427A" w:rsidRPr="00D11092" w:rsidRDefault="00DB427A" w:rsidP="00DB427A">
      <w:pPr>
        <w:pStyle w:val="Bullet1"/>
        <w:numPr>
          <w:ilvl w:val="0"/>
          <w:numId w:val="2"/>
        </w:numPr>
        <w:tabs>
          <w:tab w:val="clear" w:pos="360"/>
          <w:tab w:val="clear" w:pos="454"/>
        </w:tabs>
        <w:ind w:left="284" w:hanging="284"/>
        <w:rPr>
          <w:lang w:val="en-NZ"/>
        </w:rPr>
      </w:pPr>
      <w:r w:rsidRPr="00D11092">
        <w:rPr>
          <w:lang w:val="en-NZ"/>
        </w:rPr>
        <w:t>the New Zealand Sign Language Act 2006 (NZSL Act)</w:t>
      </w:r>
    </w:p>
    <w:p w14:paraId="700A4CE8" w14:textId="77777777" w:rsidR="00DB427A" w:rsidRPr="00D11092" w:rsidRDefault="00DB427A" w:rsidP="00DB427A">
      <w:pPr>
        <w:pStyle w:val="Bullet1"/>
        <w:numPr>
          <w:ilvl w:val="0"/>
          <w:numId w:val="2"/>
        </w:numPr>
        <w:tabs>
          <w:tab w:val="clear" w:pos="360"/>
          <w:tab w:val="clear" w:pos="454"/>
        </w:tabs>
        <w:ind w:left="284" w:hanging="284"/>
        <w:rPr>
          <w:lang w:val="en-NZ"/>
        </w:rPr>
      </w:pPr>
      <w:r w:rsidRPr="00D11092">
        <w:rPr>
          <w:lang w:val="en-NZ"/>
        </w:rPr>
        <w:t xml:space="preserve">the New Zealand Sign Language Strategy 2018-2023 (NZSL Strategy). </w:t>
      </w:r>
    </w:p>
    <w:p w14:paraId="56355FBC" w14:textId="77777777" w:rsidR="00DB427A" w:rsidRPr="00C91718" w:rsidRDefault="00DB427A" w:rsidP="00DB427A">
      <w:r w:rsidRPr="00C91718">
        <w:t xml:space="preserve">Hard copies of these will be provided to you. </w:t>
      </w:r>
    </w:p>
    <w:p w14:paraId="58A68816" w14:textId="77777777" w:rsidR="00DB427A" w:rsidRPr="00C91718" w:rsidRDefault="00DB427A" w:rsidP="00DB427A">
      <w:r w:rsidRPr="00C91718">
        <w:t xml:space="preserve">Figure </w:t>
      </w:r>
      <w:r>
        <w:t>1</w:t>
      </w:r>
      <w:r w:rsidRPr="00C91718">
        <w:t xml:space="preserve"> (below) illustrates the relationship between the UNCRPD, the Disability Strategy</w:t>
      </w:r>
      <w:r>
        <w:t>,</w:t>
      </w:r>
      <w:r w:rsidRPr="00C91718">
        <w:t xml:space="preserve"> and the Disability Action Plan.</w:t>
      </w:r>
    </w:p>
    <w:p w14:paraId="07BF9733" w14:textId="77777777" w:rsidR="00DB427A" w:rsidRPr="00142E9E" w:rsidRDefault="00DB427A" w:rsidP="00DB427A">
      <w:pPr>
        <w:pStyle w:val="Heading3"/>
        <w:keepNext/>
        <w:keepLines/>
        <w:spacing w:before="240"/>
        <w:rPr>
          <w:rFonts w:eastAsiaTheme="majorEastAsia"/>
          <w:bCs/>
          <w:color w:val="121F6B"/>
          <w:kern w:val="0"/>
          <w:szCs w:val="22"/>
          <w:lang w:val="en-NZ" w:eastAsia="en-AU"/>
        </w:rPr>
      </w:pPr>
      <w:bookmarkStart w:id="15" w:name="_Toc50988068"/>
      <w:bookmarkStart w:id="16" w:name="_Toc53379878"/>
      <w:r w:rsidRPr="00142E9E">
        <w:rPr>
          <w:rFonts w:eastAsiaTheme="majorEastAsia"/>
          <w:bCs/>
          <w:color w:val="121F6B"/>
          <w:kern w:val="0"/>
          <w:szCs w:val="22"/>
          <w:lang w:val="en-NZ" w:eastAsia="en-AU"/>
        </w:rPr>
        <w:t>The United Nations Convention on the Rights of Persons with Disabilities</w:t>
      </w:r>
      <w:bookmarkEnd w:id="15"/>
      <w:bookmarkEnd w:id="16"/>
      <w:r w:rsidRPr="00142E9E">
        <w:rPr>
          <w:rFonts w:eastAsiaTheme="majorEastAsia"/>
          <w:bCs/>
          <w:color w:val="121F6B"/>
          <w:kern w:val="0"/>
          <w:szCs w:val="22"/>
          <w:lang w:val="en-NZ" w:eastAsia="en-AU"/>
        </w:rPr>
        <w:t xml:space="preserve"> </w:t>
      </w:r>
    </w:p>
    <w:p w14:paraId="5C1845E2" w14:textId="77777777" w:rsidR="00DB427A" w:rsidRDefault="00DB427A" w:rsidP="00DB427A">
      <w:r w:rsidRPr="00C91718">
        <w:t xml:space="preserve">You lead the co-ordination of the New Zealand Government reporting on our progress with giving effect to the UNCRPD. </w:t>
      </w:r>
    </w:p>
    <w:p w14:paraId="2A3DDE72" w14:textId="77777777" w:rsidR="00DB427A" w:rsidRPr="00C91718" w:rsidRDefault="00DB427A" w:rsidP="00DB427A">
      <w:r w:rsidRPr="00C91718">
        <w:t>The UNCRPD was adopted by the United Nations in 2006 and ratified by the New Zealand Government in 2008. The UNCRPD human rights approach affirms the need for State Parties</w:t>
      </w:r>
      <w:r>
        <w:t>’</w:t>
      </w:r>
      <w:r w:rsidRPr="00C91718">
        <w:t xml:space="preserve"> progressive </w:t>
      </w:r>
      <w:proofErr w:type="spellStart"/>
      <w:r w:rsidRPr="00C91718">
        <w:t>realisation</w:t>
      </w:r>
      <w:proofErr w:type="spellEnd"/>
      <w:r w:rsidRPr="00C91718">
        <w:t xml:space="preserve"> of equal rights and better life outcomes for disabled people. </w:t>
      </w:r>
    </w:p>
    <w:p w14:paraId="228B921C" w14:textId="77777777" w:rsidR="00DB427A" w:rsidRPr="00C91718" w:rsidRDefault="00DB427A" w:rsidP="00DB427A">
      <w:r w:rsidRPr="00C91718">
        <w:t xml:space="preserve">The UNCRPD consists of 50 articles which focus on specific areas of life, including the rights to education, having a family, emergency responsiveness, choosing where you live, non-discrimination and decision-making. </w:t>
      </w:r>
    </w:p>
    <w:p w14:paraId="5F70F5B7" w14:textId="77777777" w:rsidR="00DB427A" w:rsidRPr="00C91718" w:rsidRDefault="00DB427A" w:rsidP="00DB427A">
      <w:r w:rsidRPr="00C91718">
        <w:lastRenderedPageBreak/>
        <w:t>The UNCRPD gives no extra rights to disabled people than are already given across other conventions, declarations</w:t>
      </w:r>
      <w:r>
        <w:t>,</w:t>
      </w:r>
      <w:r w:rsidRPr="00C91718">
        <w:t xml:space="preserve"> and human rights mechanisms, but promotes that more needs to be done for disabled people to achieve the same rights as non-disabled people. </w:t>
      </w:r>
    </w:p>
    <w:p w14:paraId="0B8F5A81" w14:textId="77777777" w:rsidR="00DB427A" w:rsidRPr="00C91718" w:rsidRDefault="00DB427A" w:rsidP="00DB427A">
      <w:r w:rsidRPr="00C91718">
        <w:t xml:space="preserve">The UNCRPD </w:t>
      </w:r>
      <w:proofErr w:type="spellStart"/>
      <w:r w:rsidRPr="00C91718">
        <w:t>recognises</w:t>
      </w:r>
      <w:proofErr w:type="spellEnd"/>
      <w:r w:rsidRPr="00C91718">
        <w:t xml:space="preserve"> the right of disabled people to make free and informed decisions about their own lives.</w:t>
      </w:r>
      <w:r>
        <w:t xml:space="preserve"> </w:t>
      </w:r>
      <w:r w:rsidRPr="00C91718">
        <w:t xml:space="preserve">It </w:t>
      </w:r>
      <w:proofErr w:type="spellStart"/>
      <w:r w:rsidRPr="00C91718">
        <w:t>emphasises</w:t>
      </w:r>
      <w:proofErr w:type="spellEnd"/>
      <w:r w:rsidRPr="00C91718">
        <w:t xml:space="preserve"> ‘reasonable accommodation’</w:t>
      </w:r>
      <w:r>
        <w:t xml:space="preserve"> [</w:t>
      </w:r>
      <w:r w:rsidRPr="00C91718">
        <w:t>making appropriate changes or modifications to ensure disabled people have equal opportunities and rights</w:t>
      </w:r>
      <w:r>
        <w:t>]</w:t>
      </w:r>
      <w:r w:rsidRPr="00C91718">
        <w:t xml:space="preserve">, and </w:t>
      </w:r>
      <w:r>
        <w:t xml:space="preserve">it promotes </w:t>
      </w:r>
      <w:r w:rsidRPr="00C91718">
        <w:t>universal design</w:t>
      </w:r>
      <w:r>
        <w:t xml:space="preserve"> [</w:t>
      </w:r>
      <w:r w:rsidRPr="00C91718">
        <w:t xml:space="preserve">designing products, environments, </w:t>
      </w:r>
      <w:proofErr w:type="spellStart"/>
      <w:r w:rsidRPr="00C91718">
        <w:t>programmes</w:t>
      </w:r>
      <w:proofErr w:type="spellEnd"/>
      <w:r w:rsidRPr="00C91718">
        <w:t xml:space="preserve"> and services so everyone can use them</w:t>
      </w:r>
      <w:r>
        <w:t>]</w:t>
      </w:r>
      <w:r w:rsidRPr="00C91718">
        <w:t>.</w:t>
      </w:r>
    </w:p>
    <w:p w14:paraId="158FC55B" w14:textId="77777777" w:rsidR="00DB427A" w:rsidRPr="00C91718" w:rsidRDefault="00DB427A" w:rsidP="00DB427A">
      <w:r w:rsidRPr="00C91718">
        <w:t>New Zealand adopted the Optional Protocol to the UNCRPD in 2016.</w:t>
      </w:r>
      <w:r>
        <w:t xml:space="preserve"> </w:t>
      </w:r>
      <w:r w:rsidRPr="00C91718">
        <w:t xml:space="preserve">This additional agreement to the UNCRPD establishes an individual complaints mechanism for disabled people who allege that their rights under the UNCRPD have been denied. </w:t>
      </w:r>
    </w:p>
    <w:p w14:paraId="4792FA44" w14:textId="77777777" w:rsidR="00DB427A" w:rsidRPr="00C91718" w:rsidRDefault="00DB427A" w:rsidP="00DB427A">
      <w:r w:rsidRPr="000B39EE">
        <w:t>Regular reporting on progress includes your reports on behalf of the New Zealand Government, as well as from the Independent Monitoring Mechanism (IMM)</w:t>
      </w:r>
      <w:r w:rsidRPr="000B39EE">
        <w:rPr>
          <w:rStyle w:val="FootnoteReference"/>
          <w:sz w:val="24"/>
          <w:szCs w:val="24"/>
        </w:rPr>
        <w:footnoteReference w:id="2"/>
      </w:r>
      <w:r w:rsidRPr="000B39EE">
        <w:rPr>
          <w:szCs w:val="22"/>
          <w:lang w:val="en-NZ"/>
        </w:rPr>
        <w:t xml:space="preserve">, </w:t>
      </w:r>
      <w:r w:rsidRPr="000B39EE">
        <w:t>on behalf of civil society, and others.</w:t>
      </w:r>
    </w:p>
    <w:p w14:paraId="6C97E41C" w14:textId="77777777" w:rsidR="00DB427A" w:rsidRPr="00C91718" w:rsidRDefault="00DB427A" w:rsidP="00DB427A">
      <w:r w:rsidRPr="00C91718">
        <w:t xml:space="preserve">The New Zealand Government submitted its latest report to the United Nations in March 2019. The United Nations Committee’s periodic review of New Zealand’s implementation of the Convention was </w:t>
      </w:r>
      <w:r>
        <w:t>planned</w:t>
      </w:r>
      <w:r w:rsidRPr="00C91718">
        <w:t xml:space="preserve"> </w:t>
      </w:r>
      <w:r>
        <w:t>for</w:t>
      </w:r>
      <w:r w:rsidRPr="00C91718">
        <w:t xml:space="preserve"> 2019 but </w:t>
      </w:r>
      <w:r>
        <w:t>w</w:t>
      </w:r>
      <w:r w:rsidRPr="00C91718">
        <w:t>as significantly delayed, in part due to COVID-19</w:t>
      </w:r>
      <w:r>
        <w:t>, and has yet to be re-scheduled</w:t>
      </w:r>
      <w:r w:rsidRPr="00C91718">
        <w:t>.</w:t>
      </w:r>
    </w:p>
    <w:p w14:paraId="1A16E51C" w14:textId="77777777" w:rsidR="00DB427A" w:rsidRPr="00142E9E" w:rsidRDefault="00DB427A" w:rsidP="00DB427A">
      <w:pPr>
        <w:pStyle w:val="Heading3"/>
        <w:keepNext/>
        <w:keepLines/>
        <w:spacing w:before="240"/>
        <w:rPr>
          <w:rFonts w:eastAsiaTheme="majorEastAsia"/>
          <w:bCs/>
          <w:color w:val="121F6B"/>
          <w:kern w:val="0"/>
          <w:szCs w:val="22"/>
          <w:lang w:val="en-NZ" w:eastAsia="en-AU"/>
        </w:rPr>
      </w:pPr>
      <w:bookmarkStart w:id="17" w:name="_Toc50988069"/>
      <w:bookmarkStart w:id="18" w:name="_Toc53379879"/>
      <w:r w:rsidRPr="00142E9E">
        <w:rPr>
          <w:rFonts w:eastAsiaTheme="majorEastAsia"/>
          <w:bCs/>
          <w:color w:val="121F6B"/>
          <w:kern w:val="0"/>
          <w:szCs w:val="22"/>
          <w:lang w:val="en-NZ" w:eastAsia="en-AU"/>
        </w:rPr>
        <w:t xml:space="preserve">The </w:t>
      </w:r>
      <w:r>
        <w:rPr>
          <w:rFonts w:eastAsiaTheme="majorEastAsia"/>
          <w:bCs/>
          <w:color w:val="121F6B"/>
          <w:kern w:val="0"/>
          <w:szCs w:val="22"/>
          <w:lang w:val="en-NZ" w:eastAsia="en-AU"/>
        </w:rPr>
        <w:t xml:space="preserve">New Zealand </w:t>
      </w:r>
      <w:r w:rsidRPr="00142E9E">
        <w:rPr>
          <w:rFonts w:eastAsiaTheme="majorEastAsia"/>
          <w:bCs/>
          <w:color w:val="121F6B"/>
          <w:kern w:val="0"/>
          <w:szCs w:val="22"/>
          <w:lang w:val="en-NZ" w:eastAsia="en-AU"/>
        </w:rPr>
        <w:t>Disability Strategy 2016-2026</w:t>
      </w:r>
      <w:bookmarkEnd w:id="17"/>
      <w:bookmarkEnd w:id="18"/>
    </w:p>
    <w:p w14:paraId="7B601C0A" w14:textId="77777777" w:rsidR="00DB427A" w:rsidRDefault="00DB427A" w:rsidP="00DB427A">
      <w:r w:rsidRPr="006E3758">
        <w:t>New Zealand has had an overarching disability strategy since 2001</w:t>
      </w:r>
      <w:r>
        <w:t>.</w:t>
      </w:r>
      <w:r w:rsidRPr="006E3758">
        <w:t xml:space="preserve"> New Zealand ratified the 2006 UNCRPD in 2008 and remains committed to its progressive </w:t>
      </w:r>
      <w:proofErr w:type="spellStart"/>
      <w:r>
        <w:t>realisation</w:t>
      </w:r>
      <w:proofErr w:type="spellEnd"/>
      <w:r>
        <w:t>.</w:t>
      </w:r>
    </w:p>
    <w:p w14:paraId="3120A6AB" w14:textId="77777777" w:rsidR="00DB427A" w:rsidRPr="00C91718" w:rsidRDefault="00DB427A" w:rsidP="00DB427A">
      <w:r w:rsidRPr="00C91718">
        <w:t xml:space="preserve">The </w:t>
      </w:r>
      <w:r w:rsidRPr="006E3758">
        <w:t xml:space="preserve">New Zealand </w:t>
      </w:r>
      <w:r w:rsidRPr="00C91718">
        <w:t>Disability Strategy</w:t>
      </w:r>
      <w:r>
        <w:t>2016-2026</w:t>
      </w:r>
      <w:r w:rsidRPr="00C91718">
        <w:t xml:space="preserve"> was developed in close consultation with the disability community</w:t>
      </w:r>
      <w:r>
        <w:t xml:space="preserve"> with a </w:t>
      </w:r>
      <w:r w:rsidRPr="00C91718">
        <w:t xml:space="preserve">vision of New Zealand </w:t>
      </w:r>
      <w:r>
        <w:t>being</w:t>
      </w:r>
      <w:r w:rsidRPr="00C91718">
        <w:t xml:space="preserve"> a non-disabling society – a place where disabled people have an equal opportunity to achieve their goals and aspirations, and all New Zealand</w:t>
      </w:r>
      <w:r>
        <w:t>ers</w:t>
      </w:r>
      <w:r w:rsidRPr="00C91718">
        <w:t xml:space="preserve"> work together to make this happen. </w:t>
      </w:r>
    </w:p>
    <w:p w14:paraId="4CA6AB7D" w14:textId="77777777" w:rsidR="00DB427A" w:rsidRPr="00C91718" w:rsidRDefault="00DB427A" w:rsidP="00DB427A">
      <w:r w:rsidRPr="00C91718">
        <w:t xml:space="preserve">The three principles underpinning the Disability Strategy are based on Te </w:t>
      </w:r>
      <w:proofErr w:type="spellStart"/>
      <w:r w:rsidRPr="00C91718">
        <w:t>Tiriti</w:t>
      </w:r>
      <w:proofErr w:type="spellEnd"/>
      <w:r w:rsidRPr="00C91718">
        <w:t xml:space="preserve"> o Waitangi, the UNCRPD</w:t>
      </w:r>
      <w:r>
        <w:t>,</w:t>
      </w:r>
      <w:r w:rsidRPr="00C91718">
        <w:t xml:space="preserve"> and ensuring disabled people are involved in decision-making that impacts them.</w:t>
      </w:r>
      <w:r>
        <w:t xml:space="preserve"> </w:t>
      </w:r>
      <w:r w:rsidRPr="00C91718">
        <w:t>The two approaches to implementing the Disability Strategy are</w:t>
      </w:r>
      <w:r>
        <w:t>:</w:t>
      </w:r>
      <w:r w:rsidRPr="00C91718">
        <w:t xml:space="preserve"> </w:t>
      </w:r>
    </w:p>
    <w:p w14:paraId="310DAB2F" w14:textId="77777777" w:rsidR="00DB427A" w:rsidRPr="00D01611" w:rsidRDefault="00DB427A" w:rsidP="00DB427A">
      <w:pPr>
        <w:pStyle w:val="Bullet1"/>
        <w:numPr>
          <w:ilvl w:val="0"/>
          <w:numId w:val="2"/>
        </w:numPr>
        <w:tabs>
          <w:tab w:val="clear" w:pos="360"/>
          <w:tab w:val="clear" w:pos="454"/>
        </w:tabs>
        <w:ind w:left="284" w:hanging="284"/>
      </w:pPr>
      <w:r w:rsidRPr="00C91718">
        <w:t xml:space="preserve">investing in </w:t>
      </w:r>
      <w:r w:rsidRPr="00D01611">
        <w:t xml:space="preserve">disabled people’s whole lives (a long-term approach) </w:t>
      </w:r>
    </w:p>
    <w:p w14:paraId="746CFC91" w14:textId="77777777" w:rsidR="00DB427A" w:rsidRPr="00D01611" w:rsidRDefault="00DB427A" w:rsidP="00DB427A">
      <w:pPr>
        <w:pStyle w:val="Bullet1"/>
        <w:numPr>
          <w:ilvl w:val="0"/>
          <w:numId w:val="2"/>
        </w:numPr>
        <w:tabs>
          <w:tab w:val="clear" w:pos="360"/>
          <w:tab w:val="clear" w:pos="454"/>
        </w:tabs>
        <w:ind w:left="284" w:hanging="284"/>
      </w:pPr>
      <w:r w:rsidRPr="00C91718">
        <w:t xml:space="preserve">investing in </w:t>
      </w:r>
      <w:r w:rsidRPr="00D01611">
        <w:t xml:space="preserve">specific and mainstream services (a twin-track approach). </w:t>
      </w:r>
    </w:p>
    <w:p w14:paraId="1422465B" w14:textId="77777777" w:rsidR="00DB427A" w:rsidRPr="00C91718" w:rsidRDefault="00DB427A" w:rsidP="00DB427A">
      <w:r w:rsidRPr="00C91718">
        <w:lastRenderedPageBreak/>
        <w:t xml:space="preserve">Figure </w:t>
      </w:r>
      <w:r>
        <w:t>1 also</w:t>
      </w:r>
      <w:r w:rsidRPr="00C91718">
        <w:t xml:space="preserve"> illustrates the eight interconnected Disability Strategy outcome areas that will contribute to achieving the vision. </w:t>
      </w:r>
    </w:p>
    <w:p w14:paraId="01F1D852" w14:textId="77777777" w:rsidR="00DB427A" w:rsidRPr="00C91718" w:rsidRDefault="00DB427A" w:rsidP="00DB427A">
      <w:r w:rsidRPr="00C91718">
        <w:t>For each of the eight areas, outcome indicators have been developed to track impact</w:t>
      </w:r>
      <w:r>
        <w:t>s</w:t>
      </w:r>
      <w:r w:rsidRPr="00C91718">
        <w:t>. Measures for the indicators are under development</w:t>
      </w:r>
      <w:r>
        <w:t>.</w:t>
      </w:r>
      <w:r w:rsidRPr="00C91718">
        <w:t xml:space="preserve"> </w:t>
      </w:r>
      <w:r>
        <w:t>G</w:t>
      </w:r>
      <w:r w:rsidRPr="00C91718">
        <w:t>aps remain in the data available.</w:t>
      </w:r>
    </w:p>
    <w:p w14:paraId="36046B4D" w14:textId="77777777" w:rsidR="00DB427A" w:rsidRPr="00142E9E" w:rsidRDefault="00DB427A" w:rsidP="00DB427A">
      <w:pPr>
        <w:pStyle w:val="Heading3"/>
        <w:keepNext/>
        <w:keepLines/>
        <w:spacing w:before="240"/>
        <w:rPr>
          <w:rFonts w:eastAsiaTheme="majorEastAsia"/>
          <w:bCs/>
          <w:color w:val="121F6B"/>
          <w:kern w:val="0"/>
          <w:szCs w:val="22"/>
          <w:lang w:val="en-NZ" w:eastAsia="en-AU"/>
        </w:rPr>
      </w:pPr>
      <w:bookmarkStart w:id="19" w:name="_Toc50988070"/>
      <w:bookmarkStart w:id="20" w:name="_Toc53379880"/>
      <w:r w:rsidRPr="00142E9E">
        <w:rPr>
          <w:rFonts w:eastAsiaTheme="majorEastAsia"/>
          <w:bCs/>
          <w:color w:val="121F6B"/>
          <w:kern w:val="0"/>
          <w:szCs w:val="22"/>
          <w:lang w:val="en-NZ" w:eastAsia="en-AU"/>
        </w:rPr>
        <w:t>The Disability Action Plan 2019-2023</w:t>
      </w:r>
      <w:bookmarkEnd w:id="19"/>
      <w:bookmarkEnd w:id="20"/>
    </w:p>
    <w:p w14:paraId="62953493" w14:textId="77777777" w:rsidR="00DB427A" w:rsidRPr="004C2648" w:rsidRDefault="00DB427A" w:rsidP="00DB427A">
      <w:r w:rsidRPr="006E3758">
        <w:t>The Disability Action Plan 2019-23 coordinates contributions across government agencies</w:t>
      </w:r>
      <w:r>
        <w:t>.</w:t>
      </w:r>
      <w:r w:rsidRPr="004C2648">
        <w:t xml:space="preserve"> The Plan was developed in consultation with disabled people in 2018/2019</w:t>
      </w:r>
      <w:r>
        <w:t>, agreed by Cabinet,</w:t>
      </w:r>
      <w:r w:rsidRPr="004C2648">
        <w:t xml:space="preserve"> and launched by the Minister for Disability Issues in November 2019. It is the primary vehicle for implementing the Disability Strategy. </w:t>
      </w:r>
    </w:p>
    <w:p w14:paraId="110EE6D0" w14:textId="77777777" w:rsidR="00DB427A" w:rsidRPr="00C91718" w:rsidRDefault="00DB427A" w:rsidP="00DB427A">
      <w:r>
        <w:t>As part of this work o</w:t>
      </w:r>
      <w:r w:rsidRPr="004C2648">
        <w:t>fficials from the Office for Disability Issues and from other government agencies worked with the DPO Coalition to agree a package of 29</w:t>
      </w:r>
      <w:r w:rsidRPr="004C2648">
        <w:rPr>
          <w:vertAlign w:val="superscript"/>
        </w:rPr>
        <w:footnoteReference w:id="3"/>
      </w:r>
      <w:r w:rsidRPr="004C2648">
        <w:t xml:space="preserve"> cross-government work </w:t>
      </w:r>
      <w:proofErr w:type="spellStart"/>
      <w:r w:rsidRPr="004C2648">
        <w:t>programmes</w:t>
      </w:r>
      <w:proofErr w:type="spellEnd"/>
      <w:r w:rsidRPr="004C2648">
        <w:t xml:space="preserve"> and two cross cutting issues to be progressed over the three years to 2023. This package is intended to create a significant shift in the lives of disabled people.</w:t>
      </w:r>
    </w:p>
    <w:p w14:paraId="03B97343" w14:textId="77777777" w:rsidR="00DB427A" w:rsidRPr="00C91718" w:rsidRDefault="00DB427A" w:rsidP="00DB427A">
      <w:bookmarkStart w:id="21" w:name="_Hlk49931169"/>
      <w:r w:rsidRPr="00C91718">
        <w:t xml:space="preserve">Government agencies are expected to provide six-monthly reports on the progress being achieved in the work </w:t>
      </w:r>
      <w:proofErr w:type="spellStart"/>
      <w:r w:rsidRPr="00C91718">
        <w:t>programmes</w:t>
      </w:r>
      <w:proofErr w:type="spellEnd"/>
      <w:r w:rsidRPr="00C91718">
        <w:t>.</w:t>
      </w:r>
      <w:r>
        <w:t xml:space="preserve"> </w:t>
      </w:r>
      <w:r w:rsidRPr="00C91718">
        <w:t xml:space="preserve">Some agencies have multiple </w:t>
      </w:r>
      <w:proofErr w:type="spellStart"/>
      <w:r w:rsidRPr="00C91718">
        <w:t>programmes</w:t>
      </w:r>
      <w:proofErr w:type="spellEnd"/>
      <w:r w:rsidRPr="00C91718">
        <w:t>.</w:t>
      </w:r>
    </w:p>
    <w:bookmarkEnd w:id="21"/>
    <w:p w14:paraId="7C877F91" w14:textId="77777777" w:rsidR="00DB427A" w:rsidRDefault="00DB427A" w:rsidP="00DB427A">
      <w:r>
        <w:t>O</w:t>
      </w:r>
      <w:r w:rsidRPr="006E3758">
        <w:t>f the 40 government agencies</w:t>
      </w:r>
      <w:r>
        <w:t>, 39</w:t>
      </w:r>
      <w:r w:rsidRPr="006E3758">
        <w:t xml:space="preserve"> have </w:t>
      </w:r>
      <w:r>
        <w:t xml:space="preserve">also </w:t>
      </w:r>
      <w:r w:rsidRPr="006E3758">
        <w:t>committed to the Accessibility Charter 2019.</w:t>
      </w:r>
    </w:p>
    <w:p w14:paraId="7535E0A6" w14:textId="77777777" w:rsidR="00DB427A" w:rsidRPr="00C91718" w:rsidRDefault="00DB427A" w:rsidP="00DB427A">
      <w:r w:rsidRPr="00C91718">
        <w:t xml:space="preserve">The Disability Action Plan is not static. Additional work </w:t>
      </w:r>
      <w:proofErr w:type="spellStart"/>
      <w:r w:rsidRPr="00C91718">
        <w:t>programmes</w:t>
      </w:r>
      <w:proofErr w:type="spellEnd"/>
      <w:r w:rsidRPr="00C91718">
        <w:t xml:space="preserve"> can be added as agencies see fit. </w:t>
      </w:r>
      <w:r>
        <w:t>N</w:t>
      </w:r>
      <w:r w:rsidRPr="00C91718">
        <w:t xml:space="preserve">ew work </w:t>
      </w:r>
      <w:proofErr w:type="spellStart"/>
      <w:r w:rsidRPr="00C91718">
        <w:t>programmes</w:t>
      </w:r>
      <w:proofErr w:type="spellEnd"/>
      <w:r>
        <w:t xml:space="preserve"> you may wish to consider</w:t>
      </w:r>
      <w:r w:rsidRPr="00C91718">
        <w:t xml:space="preserve"> include:</w:t>
      </w:r>
    </w:p>
    <w:p w14:paraId="2EF82DA0" w14:textId="77777777" w:rsidR="00DB427A" w:rsidRPr="00D01611" w:rsidRDefault="00DB427A" w:rsidP="00DB427A">
      <w:pPr>
        <w:pStyle w:val="Bullet1"/>
        <w:numPr>
          <w:ilvl w:val="0"/>
          <w:numId w:val="2"/>
        </w:numPr>
        <w:tabs>
          <w:tab w:val="clear" w:pos="360"/>
          <w:tab w:val="clear" w:pos="454"/>
        </w:tabs>
        <w:ind w:left="284" w:hanging="284"/>
        <w:rPr>
          <w:lang w:val="en-NZ"/>
        </w:rPr>
      </w:pPr>
      <w:r>
        <w:rPr>
          <w:lang w:val="en-NZ"/>
        </w:rPr>
        <w:t>d</w:t>
      </w:r>
      <w:r w:rsidRPr="00D01611">
        <w:rPr>
          <w:lang w:val="en-NZ"/>
        </w:rPr>
        <w:t>igital inclusion</w:t>
      </w:r>
    </w:p>
    <w:p w14:paraId="01FB2D91" w14:textId="77777777" w:rsidR="00DB427A" w:rsidRPr="00D01611" w:rsidRDefault="00DB427A" w:rsidP="00DB427A">
      <w:pPr>
        <w:pStyle w:val="Bullet1"/>
        <w:numPr>
          <w:ilvl w:val="0"/>
          <w:numId w:val="2"/>
        </w:numPr>
        <w:tabs>
          <w:tab w:val="clear" w:pos="360"/>
          <w:tab w:val="clear" w:pos="454"/>
        </w:tabs>
        <w:ind w:left="284" w:hanging="284"/>
        <w:rPr>
          <w:lang w:val="en-NZ"/>
        </w:rPr>
      </w:pPr>
      <w:r>
        <w:rPr>
          <w:lang w:val="en-NZ"/>
        </w:rPr>
        <w:t>f</w:t>
      </w:r>
      <w:r w:rsidRPr="00D01611">
        <w:rPr>
          <w:lang w:val="en-NZ"/>
        </w:rPr>
        <w:t>lexibility of service provision</w:t>
      </w:r>
    </w:p>
    <w:p w14:paraId="1C0FD05F" w14:textId="77777777" w:rsidR="00DB427A" w:rsidRPr="00D01611" w:rsidRDefault="00DB427A" w:rsidP="00DB427A">
      <w:pPr>
        <w:pStyle w:val="Bullet1"/>
        <w:numPr>
          <w:ilvl w:val="0"/>
          <w:numId w:val="2"/>
        </w:numPr>
        <w:tabs>
          <w:tab w:val="clear" w:pos="360"/>
          <w:tab w:val="clear" w:pos="454"/>
        </w:tabs>
        <w:ind w:left="284" w:hanging="284"/>
        <w:rPr>
          <w:lang w:val="en-NZ"/>
        </w:rPr>
      </w:pPr>
      <w:proofErr w:type="spellStart"/>
      <w:r w:rsidRPr="00D01611">
        <w:rPr>
          <w:lang w:val="en-NZ"/>
        </w:rPr>
        <w:t>Oranga</w:t>
      </w:r>
      <w:proofErr w:type="spellEnd"/>
      <w:r w:rsidRPr="00D01611">
        <w:rPr>
          <w:lang w:val="en-NZ"/>
        </w:rPr>
        <w:t xml:space="preserve"> Tamariki</w:t>
      </w:r>
      <w:r>
        <w:rPr>
          <w:lang w:val="en-NZ"/>
        </w:rPr>
        <w:t>’s</w:t>
      </w:r>
      <w:r w:rsidRPr="00D01611">
        <w:rPr>
          <w:lang w:val="en-NZ"/>
        </w:rPr>
        <w:t xml:space="preserve"> work on development of disability advocates</w:t>
      </w:r>
    </w:p>
    <w:p w14:paraId="25B984F0" w14:textId="77777777" w:rsidR="00DB427A" w:rsidRPr="00D01611" w:rsidRDefault="00DB427A" w:rsidP="00DB427A">
      <w:pPr>
        <w:pStyle w:val="Bullet1"/>
        <w:numPr>
          <w:ilvl w:val="0"/>
          <w:numId w:val="2"/>
        </w:numPr>
        <w:tabs>
          <w:tab w:val="clear" w:pos="360"/>
          <w:tab w:val="clear" w:pos="454"/>
        </w:tabs>
        <w:ind w:left="284" w:hanging="284"/>
        <w:rPr>
          <w:lang w:val="en-NZ"/>
        </w:rPr>
      </w:pPr>
      <w:r>
        <w:rPr>
          <w:lang w:val="en-NZ"/>
        </w:rPr>
        <w:t>a</w:t>
      </w:r>
      <w:r w:rsidRPr="00D01611">
        <w:rPr>
          <w:lang w:val="en-NZ"/>
        </w:rPr>
        <w:t xml:space="preserve"> disabled people’s focus in the Joint Venture work on Family Violence and Sexual Violence </w:t>
      </w:r>
    </w:p>
    <w:p w14:paraId="592DAD0C" w14:textId="77777777" w:rsidR="00DB427A" w:rsidRPr="00D01611" w:rsidRDefault="00DB427A" w:rsidP="00DB427A">
      <w:pPr>
        <w:pStyle w:val="Bullet1"/>
        <w:numPr>
          <w:ilvl w:val="0"/>
          <w:numId w:val="2"/>
        </w:numPr>
        <w:tabs>
          <w:tab w:val="clear" w:pos="360"/>
          <w:tab w:val="clear" w:pos="454"/>
        </w:tabs>
        <w:ind w:left="284" w:hanging="284"/>
        <w:rPr>
          <w:lang w:val="en-NZ"/>
        </w:rPr>
      </w:pPr>
      <w:r>
        <w:rPr>
          <w:lang w:val="en-NZ"/>
        </w:rPr>
        <w:t>a</w:t>
      </w:r>
      <w:r w:rsidRPr="00D01611">
        <w:rPr>
          <w:lang w:val="en-NZ"/>
        </w:rPr>
        <w:t xml:space="preserve"> disability youth leadership initiative</w:t>
      </w:r>
    </w:p>
    <w:p w14:paraId="48549899" w14:textId="77777777" w:rsidR="00DB427A" w:rsidRPr="00D01611" w:rsidRDefault="00DB427A" w:rsidP="00DB427A">
      <w:pPr>
        <w:pStyle w:val="Bullet1"/>
        <w:numPr>
          <w:ilvl w:val="0"/>
          <w:numId w:val="2"/>
        </w:numPr>
        <w:tabs>
          <w:tab w:val="clear" w:pos="360"/>
          <w:tab w:val="clear" w:pos="454"/>
        </w:tabs>
        <w:ind w:left="284" w:hanging="284"/>
        <w:rPr>
          <w:lang w:val="en-NZ"/>
        </w:rPr>
      </w:pPr>
      <w:r>
        <w:rPr>
          <w:lang w:val="en-NZ"/>
        </w:rPr>
        <w:t>g</w:t>
      </w:r>
      <w:r w:rsidRPr="00BC5960">
        <w:rPr>
          <w:lang w:val="en-NZ"/>
        </w:rPr>
        <w:t>rowing disability leadership capability and capacity within the disability sector and across all sectors of society.</w:t>
      </w:r>
    </w:p>
    <w:p w14:paraId="706F0D5B" w14:textId="77777777" w:rsidR="00DB427A" w:rsidRPr="00CF2B7B" w:rsidRDefault="00DB427A" w:rsidP="00DB427A">
      <w:pPr>
        <w:pStyle w:val="Heading4"/>
        <w:keepNext/>
        <w:keepLines/>
        <w:spacing w:before="480" w:after="60"/>
        <w:rPr>
          <w:rFonts w:eastAsiaTheme="majorEastAsia" w:cs="Times New Roman"/>
          <w:b/>
          <w:bCs/>
          <w:i w:val="0"/>
          <w:iCs/>
          <w:color w:val="121F6B"/>
          <w:kern w:val="0"/>
          <w:szCs w:val="20"/>
          <w:lang w:val="en-NZ"/>
        </w:rPr>
      </w:pPr>
      <w:r w:rsidRPr="00CF2B7B">
        <w:rPr>
          <w:rFonts w:eastAsiaTheme="majorEastAsia" w:cs="Times New Roman"/>
          <w:b/>
          <w:bCs/>
          <w:i w:val="0"/>
          <w:iCs/>
          <w:color w:val="121F6B"/>
          <w:kern w:val="0"/>
          <w:szCs w:val="20"/>
          <w:lang w:val="en-NZ"/>
        </w:rPr>
        <w:lastRenderedPageBreak/>
        <w:t xml:space="preserve">Figure </w:t>
      </w:r>
      <w:r>
        <w:rPr>
          <w:rFonts w:eastAsiaTheme="majorEastAsia" w:cs="Times New Roman"/>
          <w:b/>
          <w:bCs/>
          <w:i w:val="0"/>
          <w:iCs/>
          <w:color w:val="121F6B"/>
          <w:kern w:val="0"/>
          <w:szCs w:val="20"/>
          <w:lang w:val="en-NZ"/>
        </w:rPr>
        <w:t>1</w:t>
      </w:r>
      <w:r w:rsidRPr="00CF2B7B">
        <w:rPr>
          <w:rFonts w:eastAsiaTheme="majorEastAsia" w:cs="Times New Roman"/>
          <w:b/>
          <w:bCs/>
          <w:i w:val="0"/>
          <w:iCs/>
          <w:color w:val="121F6B"/>
          <w:kern w:val="0"/>
          <w:szCs w:val="20"/>
          <w:lang w:val="en-NZ"/>
        </w:rPr>
        <w:t xml:space="preserve">: The relationship between the UNCRPD, the Disability Strategy 2016-2026 and the Disability Action Plan 2019-2023. </w:t>
      </w:r>
    </w:p>
    <w:p w14:paraId="6F604BD9" w14:textId="77777777" w:rsidR="00DB427A" w:rsidRPr="003D4A70" w:rsidRDefault="00DB427A" w:rsidP="00DB427A">
      <w:pPr>
        <w:rPr>
          <w:rFonts w:ascii="Arial" w:hAnsi="Arial"/>
          <w:b/>
          <w:sz w:val="24"/>
          <w:szCs w:val="24"/>
          <w:lang w:val="en-NZ"/>
        </w:rPr>
      </w:pPr>
      <w:r>
        <w:rPr>
          <w:noProof/>
        </w:rPr>
        <w:drawing>
          <wp:inline distT="0" distB="0" distL="0" distR="0" wp14:anchorId="2F085C5A" wp14:editId="6ECBC83A">
            <wp:extent cx="5144069" cy="6740856"/>
            <wp:effectExtent l="76200" t="76200" r="76200" b="79375"/>
            <wp:docPr id="23" name="Picture 23" descr="The Disability Action Plan delivers on the NZ Disability Strategy and that responds to the UNCRPD.&#10;The 8  NZDS outcomes are: Education, Employment and economic security, Health and Wellbeing, Rights protection and justice, Accessibility, Attitudes, Choice and control, and Leadership."/>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0">
                      <a:extLst>
                        <a:ext uri="{28A0092B-C50C-407E-A947-70E740481C1C}">
                          <a14:useLocalDpi xmlns:a14="http://schemas.microsoft.com/office/drawing/2010/main" val="0"/>
                        </a:ext>
                      </a:extLst>
                    </a:blip>
                    <a:srcRect t="3823"/>
                    <a:stretch/>
                  </pic:blipFill>
                  <pic:spPr bwMode="auto">
                    <a:xfrm>
                      <a:off x="0" y="0"/>
                      <a:ext cx="5158984" cy="6760400"/>
                    </a:xfrm>
                    <a:prstGeom prst="rect">
                      <a:avLst/>
                    </a:prstGeom>
                    <a:noFill/>
                    <a:ln w="76200">
                      <a:solidFill>
                        <a:schemeClr val="tx2">
                          <a:lumMod val="20000"/>
                          <a:lumOff val="80000"/>
                        </a:schemeClr>
                      </a:solidFill>
                    </a:ln>
                    <a:effectLst>
                      <a:softEdge rad="63500"/>
                    </a:effectLst>
                    <a:extLst>
                      <a:ext uri="{53640926-AAD7-44D8-BBD7-CCE9431645EC}">
                        <a14:shadowObscured xmlns:a14="http://schemas.microsoft.com/office/drawing/2010/main"/>
                      </a:ext>
                    </a:extLst>
                  </pic:spPr>
                </pic:pic>
              </a:graphicData>
            </a:graphic>
          </wp:inline>
        </w:drawing>
      </w:r>
      <w:r>
        <w:br w:type="page"/>
      </w:r>
    </w:p>
    <w:p w14:paraId="5C4AC455" w14:textId="77777777" w:rsidR="00DB427A" w:rsidRPr="00142E9E" w:rsidRDefault="00DB427A" w:rsidP="00DB427A">
      <w:pPr>
        <w:pStyle w:val="Heading3"/>
        <w:keepNext/>
        <w:keepLines/>
        <w:spacing w:before="240"/>
        <w:rPr>
          <w:rFonts w:eastAsiaTheme="majorEastAsia"/>
          <w:bCs/>
          <w:color w:val="121F6B"/>
          <w:kern w:val="0"/>
          <w:szCs w:val="22"/>
          <w:lang w:val="en-NZ" w:eastAsia="en-AU"/>
        </w:rPr>
      </w:pPr>
      <w:bookmarkStart w:id="22" w:name="_Toc50988071"/>
      <w:bookmarkStart w:id="23" w:name="_Toc53379881"/>
      <w:r w:rsidRPr="00142E9E">
        <w:rPr>
          <w:rFonts w:eastAsiaTheme="majorEastAsia"/>
          <w:bCs/>
          <w:color w:val="121F6B"/>
          <w:kern w:val="0"/>
          <w:szCs w:val="22"/>
          <w:lang w:val="en-NZ" w:eastAsia="en-AU"/>
        </w:rPr>
        <w:lastRenderedPageBreak/>
        <w:t>New Zealand Sign Language (NZSL)</w:t>
      </w:r>
      <w:bookmarkEnd w:id="22"/>
      <w:bookmarkEnd w:id="23"/>
    </w:p>
    <w:p w14:paraId="3B5ADE80" w14:textId="77777777" w:rsidR="00DB427A" w:rsidRPr="00C91718" w:rsidRDefault="00DB427A" w:rsidP="00DB427A">
      <w:r w:rsidRPr="00C91718">
        <w:t>NZSL is the language of the Deaf community</w:t>
      </w:r>
      <w:r>
        <w:t>,</w:t>
      </w:r>
      <w:r w:rsidRPr="00C91718">
        <w:t xml:space="preserve"> and for many Deaf people it is their first language.</w:t>
      </w:r>
      <w:r>
        <w:t xml:space="preserve"> </w:t>
      </w:r>
      <w:r w:rsidRPr="00C91718">
        <w:t>Like other languages, NZSL is integral to Deaf culture, wellbeing</w:t>
      </w:r>
      <w:r>
        <w:t>,</w:t>
      </w:r>
      <w:r w:rsidRPr="00C91718">
        <w:t xml:space="preserve"> and identity. </w:t>
      </w:r>
    </w:p>
    <w:p w14:paraId="2816A460" w14:textId="77777777" w:rsidR="00DB427A" w:rsidRPr="00C91718" w:rsidRDefault="00DB427A" w:rsidP="00DB427A">
      <w:r w:rsidRPr="00C91718">
        <w:t>Census 2018 results show that 22,986 people can use NZSL, which is 0.5 percent of the New Zealand population. NZSL is considered a threatened language.</w:t>
      </w:r>
    </w:p>
    <w:p w14:paraId="07ACC27B" w14:textId="77777777" w:rsidR="00DB427A" w:rsidRPr="00CF2B7B" w:rsidRDefault="00DB427A" w:rsidP="00DB427A">
      <w:pPr>
        <w:pStyle w:val="Heading4"/>
        <w:keepNext/>
        <w:keepLines/>
        <w:spacing w:before="480" w:after="60"/>
        <w:rPr>
          <w:rFonts w:eastAsiaTheme="majorEastAsia" w:cs="Times New Roman"/>
          <w:b/>
          <w:bCs/>
          <w:i w:val="0"/>
          <w:iCs/>
          <w:color w:val="121F6B"/>
          <w:kern w:val="0"/>
          <w:szCs w:val="20"/>
          <w:lang w:val="en-NZ"/>
        </w:rPr>
      </w:pPr>
      <w:r w:rsidRPr="00CF2B7B">
        <w:rPr>
          <w:rFonts w:eastAsiaTheme="majorEastAsia" w:cs="Times New Roman"/>
          <w:b/>
          <w:bCs/>
          <w:i w:val="0"/>
          <w:iCs/>
          <w:color w:val="121F6B"/>
          <w:kern w:val="0"/>
          <w:szCs w:val="20"/>
          <w:lang w:val="en-NZ"/>
        </w:rPr>
        <w:t>The NZSL Act</w:t>
      </w:r>
    </w:p>
    <w:p w14:paraId="09ADA6BA" w14:textId="77777777" w:rsidR="00DB427A" w:rsidRPr="00C91718" w:rsidRDefault="00DB427A" w:rsidP="00DB427A">
      <w:r w:rsidRPr="00C91718">
        <w:t xml:space="preserve">New Zealand legally </w:t>
      </w:r>
      <w:proofErr w:type="spellStart"/>
      <w:r w:rsidRPr="00C91718">
        <w:t>recognise</w:t>
      </w:r>
      <w:r>
        <w:t>s</w:t>
      </w:r>
      <w:proofErr w:type="spellEnd"/>
      <w:r w:rsidRPr="00C91718">
        <w:t xml:space="preserve"> NZSL </w:t>
      </w:r>
      <w:r>
        <w:t>through the NZSL Act</w:t>
      </w:r>
      <w:r w:rsidRPr="00C91718">
        <w:t xml:space="preserve"> 2006.</w:t>
      </w:r>
      <w:r>
        <w:t xml:space="preserve"> </w:t>
      </w:r>
      <w:r w:rsidRPr="00C91718">
        <w:t xml:space="preserve">The Act is administered by </w:t>
      </w:r>
      <w:r>
        <w:t>MSD</w:t>
      </w:r>
      <w:r w:rsidRPr="00C91718">
        <w:t xml:space="preserve"> through </w:t>
      </w:r>
      <w:r>
        <w:t>ODI</w:t>
      </w:r>
      <w:r w:rsidRPr="00C91718">
        <w:t xml:space="preserve">. The NZSL Act: </w:t>
      </w:r>
    </w:p>
    <w:p w14:paraId="65E1F054" w14:textId="77777777" w:rsidR="00DB427A" w:rsidRPr="00D01611" w:rsidRDefault="00DB427A" w:rsidP="00DB427A">
      <w:pPr>
        <w:pStyle w:val="Bullet1"/>
        <w:numPr>
          <w:ilvl w:val="0"/>
          <w:numId w:val="2"/>
        </w:numPr>
        <w:tabs>
          <w:tab w:val="clear" w:pos="360"/>
          <w:tab w:val="clear" w:pos="454"/>
        </w:tabs>
        <w:ind w:left="284" w:hanging="284"/>
        <w:rPr>
          <w:lang w:val="en-NZ"/>
        </w:rPr>
      </w:pPr>
      <w:r w:rsidRPr="00D01611">
        <w:rPr>
          <w:lang w:val="en-NZ"/>
        </w:rPr>
        <w:t>recognises NZSL as an official language of New Zealand</w:t>
      </w:r>
    </w:p>
    <w:p w14:paraId="27CDC0A7" w14:textId="77777777" w:rsidR="00DB427A" w:rsidRPr="00D01611" w:rsidRDefault="00DB427A" w:rsidP="00DB427A">
      <w:pPr>
        <w:pStyle w:val="Bullet1"/>
        <w:numPr>
          <w:ilvl w:val="0"/>
          <w:numId w:val="2"/>
        </w:numPr>
        <w:tabs>
          <w:tab w:val="clear" w:pos="360"/>
          <w:tab w:val="clear" w:pos="454"/>
        </w:tabs>
        <w:ind w:left="284" w:hanging="284"/>
        <w:rPr>
          <w:lang w:val="en-NZ"/>
        </w:rPr>
      </w:pPr>
      <w:r w:rsidRPr="00D01611">
        <w:rPr>
          <w:lang w:val="en-NZ"/>
        </w:rPr>
        <w:t>gives a person who uses NZSL the right to use NZSL in legal proceedings</w:t>
      </w:r>
    </w:p>
    <w:p w14:paraId="1B647CFE" w14:textId="77777777" w:rsidR="00DB427A" w:rsidRPr="00D01611" w:rsidRDefault="00DB427A" w:rsidP="00DB427A">
      <w:pPr>
        <w:pStyle w:val="Bullet1"/>
        <w:numPr>
          <w:ilvl w:val="0"/>
          <w:numId w:val="2"/>
        </w:numPr>
        <w:tabs>
          <w:tab w:val="clear" w:pos="360"/>
          <w:tab w:val="clear" w:pos="454"/>
        </w:tabs>
        <w:ind w:left="284" w:hanging="284"/>
        <w:rPr>
          <w:lang w:val="en-NZ"/>
        </w:rPr>
      </w:pPr>
      <w:r w:rsidRPr="00D01611">
        <w:rPr>
          <w:lang w:val="en-NZ"/>
        </w:rPr>
        <w:t>enables the making of regulation setting competency standards for the interpretation of legal proceedings in NZSL</w:t>
      </w:r>
    </w:p>
    <w:p w14:paraId="791BEA32" w14:textId="77777777" w:rsidR="00DB427A" w:rsidRDefault="00DB427A" w:rsidP="00DB427A">
      <w:pPr>
        <w:pStyle w:val="Bullet1"/>
        <w:numPr>
          <w:ilvl w:val="0"/>
          <w:numId w:val="2"/>
        </w:numPr>
        <w:tabs>
          <w:tab w:val="clear" w:pos="360"/>
          <w:tab w:val="clear" w:pos="454"/>
        </w:tabs>
        <w:ind w:left="284" w:hanging="284"/>
      </w:pPr>
      <w:r w:rsidRPr="00D01611">
        <w:rPr>
          <w:lang w:val="en-NZ"/>
        </w:rPr>
        <w:t>states</w:t>
      </w:r>
      <w:r w:rsidRPr="00D01611">
        <w:t xml:space="preserve"> principles to guide government departments on matters relating to NZSL. </w:t>
      </w:r>
    </w:p>
    <w:p w14:paraId="3EF47CC5" w14:textId="77777777" w:rsidR="00DB427A" w:rsidRDefault="00DB427A" w:rsidP="00DB427A">
      <w:r w:rsidRPr="006B5C0D">
        <w:t>The NZSL Board proposed a review of the NZSL Act 2006</w:t>
      </w:r>
      <w:r w:rsidRPr="00DB7814">
        <w:t xml:space="preserve"> </w:t>
      </w:r>
      <w:r w:rsidRPr="006B5C0D">
        <w:t>in their April 2019 annual report to the Minister for Disability Issues.</w:t>
      </w:r>
      <w:r>
        <w:t xml:space="preserve"> Phase 1 of this review was completed on the 5 October 2020 and a report on Phase 2 is due by 4 Dec 2020.</w:t>
      </w:r>
    </w:p>
    <w:p w14:paraId="44636E1A" w14:textId="77777777" w:rsidR="00DB427A" w:rsidRPr="00CF2B7B" w:rsidRDefault="00DB427A" w:rsidP="00DB427A">
      <w:pPr>
        <w:pStyle w:val="Heading4"/>
        <w:keepNext/>
        <w:keepLines/>
        <w:spacing w:before="480" w:after="60"/>
        <w:rPr>
          <w:rFonts w:eastAsiaTheme="majorEastAsia" w:cs="Times New Roman"/>
          <w:b/>
          <w:bCs/>
          <w:i w:val="0"/>
          <w:iCs/>
          <w:color w:val="121F6B"/>
          <w:kern w:val="0"/>
          <w:szCs w:val="20"/>
          <w:lang w:val="en-NZ"/>
        </w:rPr>
      </w:pPr>
      <w:r w:rsidRPr="00CF2B7B">
        <w:rPr>
          <w:rFonts w:eastAsiaTheme="majorEastAsia" w:cs="Times New Roman"/>
          <w:b/>
          <w:bCs/>
          <w:i w:val="0"/>
          <w:iCs/>
          <w:color w:val="121F6B"/>
          <w:kern w:val="0"/>
          <w:szCs w:val="20"/>
          <w:lang w:val="en-NZ"/>
        </w:rPr>
        <w:t xml:space="preserve">The NZSL Strategy </w:t>
      </w:r>
    </w:p>
    <w:p w14:paraId="3583C1CC" w14:textId="77777777" w:rsidR="00DB427A" w:rsidRPr="00D01611" w:rsidRDefault="00DB427A" w:rsidP="00DB427A">
      <w:r w:rsidRPr="00D01611">
        <w:t>The NZSL Strategy is intended to guide the work of government agencies and Crown entities to maintain and promote the use of NZSL by Deaf people and other NZSL users.</w:t>
      </w:r>
      <w:r>
        <w:t xml:space="preserve"> </w:t>
      </w:r>
      <w:r w:rsidRPr="00D01611">
        <w:t>It consists of the following five planning priorities:</w:t>
      </w:r>
    </w:p>
    <w:p w14:paraId="1AAE8D99" w14:textId="77777777" w:rsidR="00DB427A" w:rsidRPr="00D01611" w:rsidRDefault="00DB427A" w:rsidP="00DB427A">
      <w:pPr>
        <w:pStyle w:val="Bullet1"/>
        <w:numPr>
          <w:ilvl w:val="0"/>
          <w:numId w:val="2"/>
        </w:numPr>
        <w:tabs>
          <w:tab w:val="clear" w:pos="360"/>
          <w:tab w:val="clear" w:pos="454"/>
        </w:tabs>
        <w:ind w:left="284" w:hanging="284"/>
      </w:pPr>
      <w:r w:rsidRPr="00D01611">
        <w:t>Acquisition (the learning of NZSL by children and adults)</w:t>
      </w:r>
    </w:p>
    <w:p w14:paraId="357ADBEF" w14:textId="77777777" w:rsidR="00DB427A" w:rsidRPr="00D01611" w:rsidRDefault="00DB427A" w:rsidP="00DB427A">
      <w:pPr>
        <w:pStyle w:val="Bullet1"/>
        <w:numPr>
          <w:ilvl w:val="0"/>
          <w:numId w:val="2"/>
        </w:numPr>
        <w:tabs>
          <w:tab w:val="clear" w:pos="360"/>
          <w:tab w:val="clear" w:pos="454"/>
        </w:tabs>
        <w:ind w:left="284" w:hanging="284"/>
      </w:pPr>
      <w:r w:rsidRPr="00D01611">
        <w:t>Use/Access (the ability to use NZSL in all domains of society, including within whānau)</w:t>
      </w:r>
    </w:p>
    <w:p w14:paraId="45541FE3" w14:textId="77777777" w:rsidR="00DB427A" w:rsidRPr="00D01611" w:rsidRDefault="00DB427A" w:rsidP="00DB427A">
      <w:pPr>
        <w:pStyle w:val="Bullet1"/>
        <w:numPr>
          <w:ilvl w:val="0"/>
          <w:numId w:val="2"/>
        </w:numPr>
        <w:tabs>
          <w:tab w:val="clear" w:pos="360"/>
          <w:tab w:val="clear" w:pos="454"/>
        </w:tabs>
        <w:ind w:left="284" w:hanging="284"/>
      </w:pPr>
      <w:r w:rsidRPr="00D01611">
        <w:t>Attitude (the beliefs and opinions of NZSL users and others towards the language)</w:t>
      </w:r>
    </w:p>
    <w:p w14:paraId="47582CEB" w14:textId="77777777" w:rsidR="00DB427A" w:rsidRPr="00D01611" w:rsidRDefault="00DB427A" w:rsidP="00DB427A">
      <w:pPr>
        <w:pStyle w:val="Bullet1"/>
        <w:numPr>
          <w:ilvl w:val="0"/>
          <w:numId w:val="2"/>
        </w:numPr>
        <w:tabs>
          <w:tab w:val="clear" w:pos="360"/>
          <w:tab w:val="clear" w:pos="454"/>
        </w:tabs>
        <w:ind w:left="284" w:hanging="284"/>
      </w:pPr>
      <w:r w:rsidRPr="00D01611">
        <w:t>Documentation (the systematic recording of NZSL’s use for research and reference)</w:t>
      </w:r>
    </w:p>
    <w:p w14:paraId="1CC00AF7" w14:textId="77777777" w:rsidR="00DB427A" w:rsidRDefault="00DB427A" w:rsidP="00DB427A">
      <w:pPr>
        <w:pStyle w:val="Bullet1"/>
        <w:numPr>
          <w:ilvl w:val="0"/>
          <w:numId w:val="2"/>
        </w:numPr>
        <w:tabs>
          <w:tab w:val="clear" w:pos="360"/>
          <w:tab w:val="clear" w:pos="454"/>
        </w:tabs>
        <w:ind w:left="284" w:hanging="284"/>
      </w:pPr>
      <w:r w:rsidRPr="00D01611">
        <w:t>Status (how NZSL is regarded by its users and others).</w:t>
      </w:r>
      <w:r w:rsidRPr="00D01611" w:rsidDel="003A1E71">
        <w:t xml:space="preserve"> </w:t>
      </w:r>
    </w:p>
    <w:p w14:paraId="0E71662C" w14:textId="77777777" w:rsidR="00DB427A" w:rsidRDefault="00DB427A" w:rsidP="00DB427A">
      <w:r w:rsidRPr="00D01611">
        <w:t xml:space="preserve">Figure </w:t>
      </w:r>
      <w:r>
        <w:t>2</w:t>
      </w:r>
      <w:r w:rsidRPr="00D01611">
        <w:t xml:space="preserve"> illustrates the relationship between the NZSL Act, the NZSL Strategy, the NZSL Board</w:t>
      </w:r>
      <w:r>
        <w:t>,</w:t>
      </w:r>
      <w:r w:rsidRPr="00D01611">
        <w:t xml:space="preserve"> and Secretariat.</w:t>
      </w:r>
    </w:p>
    <w:p w14:paraId="2F69618E" w14:textId="77777777" w:rsidR="00DB427A" w:rsidRDefault="00DB427A" w:rsidP="00DB427A">
      <w:pPr>
        <w:spacing w:after="0" w:line="240" w:lineRule="auto"/>
      </w:pPr>
      <w:r>
        <w:br w:type="page"/>
      </w:r>
    </w:p>
    <w:p w14:paraId="78D04792" w14:textId="77777777" w:rsidR="00DB427A" w:rsidRPr="00CF2B7B" w:rsidRDefault="00DB427A" w:rsidP="00DB427A">
      <w:pPr>
        <w:pStyle w:val="Heading4"/>
        <w:keepNext/>
        <w:keepLines/>
        <w:spacing w:before="480" w:after="60"/>
        <w:rPr>
          <w:rFonts w:eastAsiaTheme="majorEastAsia" w:cs="Times New Roman"/>
          <w:b/>
          <w:bCs/>
          <w:i w:val="0"/>
          <w:iCs/>
          <w:color w:val="121F6B"/>
          <w:kern w:val="0"/>
          <w:szCs w:val="20"/>
          <w:lang w:val="en-NZ"/>
        </w:rPr>
      </w:pPr>
      <w:r w:rsidRPr="00CF2B7B">
        <w:rPr>
          <w:rFonts w:eastAsiaTheme="majorEastAsia" w:cs="Times New Roman"/>
          <w:b/>
          <w:bCs/>
          <w:i w:val="0"/>
          <w:iCs/>
          <w:color w:val="121F6B"/>
          <w:kern w:val="0"/>
          <w:szCs w:val="20"/>
          <w:lang w:val="en-NZ"/>
        </w:rPr>
        <w:lastRenderedPageBreak/>
        <w:t>The NZSL Board and Secretariat</w:t>
      </w:r>
    </w:p>
    <w:p w14:paraId="695694B6" w14:textId="77777777" w:rsidR="00DB427A" w:rsidRPr="00D01611" w:rsidRDefault="00DB427A" w:rsidP="00DB427A">
      <w:bookmarkStart w:id="24" w:name="_Hlk47439417"/>
      <w:r w:rsidRPr="00D01611">
        <w:t xml:space="preserve">In 2014, Cabinet established the NZSL Board as an independent advisory committee. The Office </w:t>
      </w:r>
      <w:r>
        <w:t>for Disability Issues provides</w:t>
      </w:r>
      <w:r w:rsidRPr="00D01611">
        <w:t xml:space="preserve"> the Secretariat and programme office for the Board.</w:t>
      </w:r>
      <w:r>
        <w:t xml:space="preserve"> </w:t>
      </w:r>
      <w:r w:rsidRPr="00D01611">
        <w:t>The Secretariat commissions, monitors</w:t>
      </w:r>
      <w:r>
        <w:t>,</w:t>
      </w:r>
      <w:r w:rsidRPr="00D01611">
        <w:t xml:space="preserve"> and reports on work </w:t>
      </w:r>
      <w:proofErr w:type="spellStart"/>
      <w:r w:rsidRPr="00D01611">
        <w:t>programmes</w:t>
      </w:r>
      <w:proofErr w:type="spellEnd"/>
      <w:r w:rsidRPr="00D01611">
        <w:t xml:space="preserve"> initiated by the Board.</w:t>
      </w:r>
      <w:r>
        <w:t xml:space="preserve"> </w:t>
      </w:r>
      <w:r w:rsidRPr="00D01611">
        <w:t>The Board</w:t>
      </w:r>
      <w:r>
        <w:t>’s</w:t>
      </w:r>
      <w:r w:rsidRPr="00D01611">
        <w:t xml:space="preserve"> purpose is to: </w:t>
      </w:r>
    </w:p>
    <w:p w14:paraId="399400E1" w14:textId="77777777" w:rsidR="00DB427A" w:rsidRPr="00D01611" w:rsidRDefault="00DB427A" w:rsidP="00DB427A">
      <w:pPr>
        <w:pStyle w:val="Bullet1"/>
        <w:numPr>
          <w:ilvl w:val="0"/>
          <w:numId w:val="2"/>
        </w:numPr>
        <w:tabs>
          <w:tab w:val="clear" w:pos="360"/>
          <w:tab w:val="clear" w:pos="454"/>
        </w:tabs>
        <w:ind w:left="284" w:hanging="284"/>
        <w:rPr>
          <w:lang w:val="en-NZ"/>
        </w:rPr>
      </w:pPr>
      <w:r w:rsidRPr="00D01611">
        <w:rPr>
          <w:lang w:val="en-NZ"/>
        </w:rPr>
        <w:t>promote and maintain the use of NZSL by ensuring the development, preservation</w:t>
      </w:r>
      <w:r>
        <w:rPr>
          <w:lang w:val="en-NZ"/>
        </w:rPr>
        <w:t>,</w:t>
      </w:r>
      <w:r w:rsidRPr="00D01611">
        <w:rPr>
          <w:lang w:val="en-NZ"/>
        </w:rPr>
        <w:t xml:space="preserve"> and acquisition of the language</w:t>
      </w:r>
    </w:p>
    <w:p w14:paraId="7DF28DC1" w14:textId="77777777" w:rsidR="00DB427A" w:rsidRPr="00D01611" w:rsidRDefault="00DB427A" w:rsidP="00DB427A">
      <w:pPr>
        <w:pStyle w:val="Bullet1"/>
        <w:numPr>
          <w:ilvl w:val="0"/>
          <w:numId w:val="2"/>
        </w:numPr>
        <w:tabs>
          <w:tab w:val="clear" w:pos="360"/>
          <w:tab w:val="clear" w:pos="454"/>
        </w:tabs>
        <w:ind w:left="284" w:hanging="284"/>
        <w:rPr>
          <w:lang w:val="en-NZ"/>
        </w:rPr>
      </w:pPr>
      <w:r w:rsidRPr="00D01611">
        <w:rPr>
          <w:lang w:val="en-NZ"/>
        </w:rPr>
        <w:t>ensure the rights of Deaf people and NZSL users to use NZSL as outlined in the NZSL Act 2006</w:t>
      </w:r>
    </w:p>
    <w:p w14:paraId="5D351308" w14:textId="77777777" w:rsidR="00DB427A" w:rsidRPr="00D01611" w:rsidRDefault="00DB427A" w:rsidP="00DB427A">
      <w:pPr>
        <w:pStyle w:val="Bullet1"/>
        <w:numPr>
          <w:ilvl w:val="0"/>
          <w:numId w:val="2"/>
        </w:numPr>
        <w:tabs>
          <w:tab w:val="clear" w:pos="360"/>
          <w:tab w:val="clear" w:pos="454"/>
        </w:tabs>
        <w:ind w:left="284" w:hanging="284"/>
      </w:pPr>
      <w:r w:rsidRPr="00D01611">
        <w:rPr>
          <w:lang w:val="en-NZ"/>
        </w:rPr>
        <w:t>provide</w:t>
      </w:r>
      <w:r w:rsidRPr="00D01611">
        <w:t xml:space="preserve"> expert advice to government and the community on NZSL. </w:t>
      </w:r>
    </w:p>
    <w:p w14:paraId="582805BA" w14:textId="77777777" w:rsidR="00DB427A" w:rsidRPr="00D01611" w:rsidRDefault="00DB427A" w:rsidP="00DB427A">
      <w:bookmarkStart w:id="25" w:name="_Hlk47354807"/>
      <w:r w:rsidRPr="00D01611">
        <w:t>The NZSL Board funds community activities and ongoing activities and projects through the NZSL Fund</w:t>
      </w:r>
      <w:r>
        <w:t>,</w:t>
      </w:r>
      <w:r w:rsidRPr="00D01611">
        <w:t xml:space="preserve"> a fund of $1.645m for promoting NZSL. Ongoing activities and projects supported from the NZSL Fund include NZSL week, the maintenance of the NZSL Dictionary, and multi-year </w:t>
      </w:r>
      <w:proofErr w:type="spellStart"/>
      <w:r w:rsidRPr="00D01611">
        <w:t>programmes</w:t>
      </w:r>
      <w:proofErr w:type="spellEnd"/>
      <w:r w:rsidRPr="00D01611">
        <w:t xml:space="preserve"> such as a Māori Deaf Development project.</w:t>
      </w:r>
    </w:p>
    <w:p w14:paraId="12709906" w14:textId="77777777" w:rsidR="00DB427A" w:rsidRPr="00E21BC6" w:rsidRDefault="00DB427A" w:rsidP="00DB427A">
      <w:pPr>
        <w:rPr>
          <w:b/>
          <w:bCs/>
        </w:rPr>
      </w:pPr>
      <w:r w:rsidRPr="00E21BC6">
        <w:rPr>
          <w:b/>
          <w:bCs/>
        </w:rPr>
        <w:t>You are responsible for approving the policy and criteria for the NZSL Fund.</w:t>
      </w:r>
    </w:p>
    <w:bookmarkEnd w:id="25"/>
    <w:p w14:paraId="04AB369A" w14:textId="77777777" w:rsidR="00DB427A" w:rsidRPr="00D01611" w:rsidRDefault="00DB427A" w:rsidP="00DB427A">
      <w:r w:rsidRPr="00D01611">
        <w:t xml:space="preserve">The NZSL Board has provided a contribution to this briefing </w:t>
      </w:r>
      <w:r>
        <w:t>in</w:t>
      </w:r>
      <w:r w:rsidRPr="00D01611">
        <w:t xml:space="preserve"> Appendix </w:t>
      </w:r>
      <w:r>
        <w:t>4</w:t>
      </w:r>
      <w:r w:rsidRPr="00D01611">
        <w:t>, for your consideration.</w:t>
      </w:r>
    </w:p>
    <w:p w14:paraId="375A66FF" w14:textId="77777777" w:rsidR="00DB427A" w:rsidRPr="004A0DE3" w:rsidRDefault="00DB427A" w:rsidP="00DB427A">
      <w:pPr>
        <w:pStyle w:val="Bodyintrotext"/>
      </w:pPr>
      <w:r w:rsidRPr="004A0DE3">
        <w:t>NZSL Board appointments</w:t>
      </w:r>
    </w:p>
    <w:p w14:paraId="222E0F31" w14:textId="77777777" w:rsidR="00DB427A" w:rsidRPr="00D01611" w:rsidRDefault="00DB427A" w:rsidP="00DB427A">
      <w:r w:rsidRPr="00D01611">
        <w:t xml:space="preserve">The NZSL Board has up to 10 members, all of whom are NZSL users, and most members are Deaf NZSL users. </w:t>
      </w:r>
    </w:p>
    <w:p w14:paraId="5C099A60" w14:textId="77777777" w:rsidR="00DB427A" w:rsidRPr="00D01611" w:rsidRDefault="00DB427A" w:rsidP="00DB427A">
      <w:r w:rsidRPr="00E21BC6">
        <w:rPr>
          <w:b/>
          <w:bCs/>
        </w:rPr>
        <w:t>You are responsible for making appointments to the NZSL Board</w:t>
      </w:r>
      <w:r>
        <w:rPr>
          <w:b/>
          <w:bCs/>
        </w:rPr>
        <w:t>.</w:t>
      </w:r>
      <w:r w:rsidRPr="00E21BC6">
        <w:t xml:space="preserve"> </w:t>
      </w:r>
      <w:r>
        <w:t>These are confirmed by</w:t>
      </w:r>
      <w:r w:rsidRPr="00D01611">
        <w:t xml:space="preserve"> the Cabinet Appointments and Honors Committee.</w:t>
      </w:r>
      <w:r>
        <w:t xml:space="preserve"> </w:t>
      </w:r>
      <w:r w:rsidRPr="00104111">
        <w:t xml:space="preserve">The current membership of the Board is </w:t>
      </w:r>
      <w:r>
        <w:t>included</w:t>
      </w:r>
      <w:r w:rsidRPr="00104111">
        <w:t xml:space="preserve"> in Appendix </w:t>
      </w:r>
      <w:r>
        <w:t>4</w:t>
      </w:r>
      <w:r w:rsidRPr="00104111">
        <w:t>.</w:t>
      </w:r>
    </w:p>
    <w:p w14:paraId="77742AF7" w14:textId="77777777" w:rsidR="00DB427A" w:rsidRPr="009408FA" w:rsidRDefault="00DB427A" w:rsidP="00DB427A">
      <w:r>
        <w:t>One</w:t>
      </w:r>
      <w:r w:rsidRPr="00BC5960">
        <w:t xml:space="preserve"> Board</w:t>
      </w:r>
      <w:r>
        <w:t xml:space="preserve"> membership is currently vacant as the</w:t>
      </w:r>
      <w:r w:rsidRPr="00BC5960">
        <w:t xml:space="preserve"> </w:t>
      </w:r>
      <w:r>
        <w:t>DPO</w:t>
      </w:r>
      <w:r w:rsidRPr="00BC5960">
        <w:t xml:space="preserve"> nomin</w:t>
      </w:r>
      <w:r>
        <w:t>ee</w:t>
      </w:r>
      <w:r w:rsidRPr="00BC5960">
        <w:t xml:space="preserve"> </w:t>
      </w:r>
      <w:r>
        <w:t>has yet to be identified by</w:t>
      </w:r>
      <w:r w:rsidRPr="00BC5960">
        <w:t xml:space="preserve"> Deaf Aotearoa New Zealand</w:t>
      </w:r>
      <w:r>
        <w:t>.</w:t>
      </w:r>
      <w:r w:rsidRPr="00BC5960">
        <w:t xml:space="preserve"> </w:t>
      </w:r>
      <w:r>
        <w:t>You will be consulted on the appointment</w:t>
      </w:r>
      <w:r w:rsidRPr="00BC5960">
        <w:t>.</w:t>
      </w:r>
      <w:r>
        <w:t xml:space="preserve"> </w:t>
      </w:r>
      <w:r w:rsidRPr="00BC5960">
        <w:t>T</w:t>
      </w:r>
      <w:r>
        <w:t xml:space="preserve">wo anticipated vacancies for regular membership are also expected to require </w:t>
      </w:r>
      <w:r w:rsidRPr="00D01611">
        <w:t xml:space="preserve">appointment in 2021. We will engage with you ahead of these appointments. </w:t>
      </w:r>
      <w:bookmarkEnd w:id="24"/>
    </w:p>
    <w:p w14:paraId="3EA13A9E" w14:textId="77777777" w:rsidR="00DB427A" w:rsidRPr="004A0DE3" w:rsidRDefault="00DB427A" w:rsidP="00DB427A">
      <w:pPr>
        <w:pStyle w:val="Bodyintrotext"/>
      </w:pPr>
      <w:r w:rsidRPr="004A0DE3">
        <w:t xml:space="preserve">The work of the Secretariat team has changed over time </w:t>
      </w:r>
    </w:p>
    <w:p w14:paraId="4A52A706" w14:textId="77777777" w:rsidR="00DB427A" w:rsidRPr="00D01611" w:rsidRDefault="00DB427A" w:rsidP="00DB427A">
      <w:r w:rsidRPr="00D01611">
        <w:t>In response to a significant shift in the NZSL Board work programme to strategically commissioning work</w:t>
      </w:r>
      <w:r>
        <w:t>,</w:t>
      </w:r>
      <w:r w:rsidRPr="00D01611">
        <w:t xml:space="preserve"> rather than focusing only on allocation</w:t>
      </w:r>
      <w:r>
        <w:t xml:space="preserve"> of the NZSL Fund</w:t>
      </w:r>
      <w:r w:rsidRPr="00D01611">
        <w:t xml:space="preserve">, we have extended our original role as Secretariat to become more of a programme office. </w:t>
      </w:r>
    </w:p>
    <w:p w14:paraId="5FDE7309" w14:textId="77777777" w:rsidR="00DB427A" w:rsidRDefault="00DB427A" w:rsidP="00DB427A">
      <w:pPr>
        <w:spacing w:after="0" w:line="240" w:lineRule="auto"/>
        <w:rPr>
          <w:rFonts w:ascii="Arial" w:hAnsi="Arial"/>
          <w:b/>
          <w:sz w:val="24"/>
        </w:rPr>
      </w:pPr>
      <w:r>
        <w:rPr>
          <w:rFonts w:ascii="Arial" w:hAnsi="Arial"/>
          <w:b/>
          <w:sz w:val="24"/>
        </w:rPr>
        <w:br w:type="page"/>
      </w:r>
    </w:p>
    <w:p w14:paraId="73F002A6" w14:textId="77777777" w:rsidR="00DB427A" w:rsidRPr="00CF2B7B" w:rsidRDefault="00DB427A" w:rsidP="00DB427A">
      <w:pPr>
        <w:pStyle w:val="Heading4"/>
        <w:keepNext/>
        <w:keepLines/>
        <w:spacing w:before="480" w:after="60"/>
        <w:rPr>
          <w:rFonts w:eastAsiaTheme="majorEastAsia" w:cs="Times New Roman"/>
          <w:b/>
          <w:bCs/>
          <w:i w:val="0"/>
          <w:iCs/>
          <w:color w:val="121F6B"/>
          <w:kern w:val="0"/>
          <w:szCs w:val="20"/>
          <w:lang w:val="en-NZ"/>
        </w:rPr>
      </w:pPr>
      <w:r w:rsidRPr="00CF2B7B">
        <w:rPr>
          <w:rFonts w:eastAsiaTheme="majorEastAsia" w:cs="Times New Roman"/>
          <w:b/>
          <w:bCs/>
          <w:i w:val="0"/>
          <w:iCs/>
          <w:color w:val="121F6B"/>
          <w:kern w:val="0"/>
          <w:szCs w:val="20"/>
          <w:lang w:val="en-NZ"/>
        </w:rPr>
        <w:lastRenderedPageBreak/>
        <w:t xml:space="preserve">Figure </w:t>
      </w:r>
      <w:r>
        <w:rPr>
          <w:rFonts w:eastAsiaTheme="majorEastAsia" w:cs="Times New Roman"/>
          <w:b/>
          <w:bCs/>
          <w:i w:val="0"/>
          <w:iCs/>
          <w:color w:val="121F6B"/>
          <w:kern w:val="0"/>
          <w:szCs w:val="20"/>
          <w:lang w:val="en-NZ"/>
        </w:rPr>
        <w:t>2</w:t>
      </w:r>
      <w:r w:rsidRPr="00CF2B7B">
        <w:rPr>
          <w:rFonts w:eastAsiaTheme="majorEastAsia" w:cs="Times New Roman"/>
          <w:b/>
          <w:bCs/>
          <w:i w:val="0"/>
          <w:iCs/>
          <w:color w:val="121F6B"/>
          <w:kern w:val="0"/>
          <w:szCs w:val="20"/>
          <w:lang w:val="en-NZ"/>
        </w:rPr>
        <w:t xml:space="preserve">: The relationship between the NZSL Act 2006, the NZSL Strategy 2018-2023, the NZSL Board and its Secretariat </w:t>
      </w:r>
    </w:p>
    <w:p w14:paraId="59A28719" w14:textId="77777777" w:rsidR="00DB427A" w:rsidRDefault="00DB427A" w:rsidP="00DB427A">
      <w:r>
        <w:rPr>
          <w:noProof/>
        </w:rPr>
        <w:drawing>
          <wp:inline distT="0" distB="0" distL="0" distR="0" wp14:anchorId="1ACD499D" wp14:editId="508DDF48">
            <wp:extent cx="5472752" cy="8009041"/>
            <wp:effectExtent l="0" t="0" r="0" b="0"/>
            <wp:docPr id="24" name="Picture 24" descr="The NZSL Board, delivering on the NZSL Act 2006, is to maintain and promote the use of NZSL by Deaf people and other users. &#10;NZSL Fund investment is to deliver on the  NZSL Strategy language planning priorities [Acquisition, Use/Access, Attitude, Documentation and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3336" cy="8024529"/>
                    </a:xfrm>
                    <a:prstGeom prst="rect">
                      <a:avLst/>
                    </a:prstGeom>
                    <a:noFill/>
                    <a:ln>
                      <a:noFill/>
                    </a:ln>
                  </pic:spPr>
                </pic:pic>
              </a:graphicData>
            </a:graphic>
          </wp:inline>
        </w:drawing>
      </w:r>
      <w:r>
        <w:br w:type="page"/>
      </w:r>
    </w:p>
    <w:p w14:paraId="4B25C065" w14:textId="77777777" w:rsidR="00DB427A" w:rsidRPr="008F235D" w:rsidRDefault="00DB427A" w:rsidP="00DB427A">
      <w:pPr>
        <w:pStyle w:val="Heading2"/>
        <w:spacing w:before="240"/>
        <w:rPr>
          <w:color w:val="121F6B"/>
          <w:sz w:val="36"/>
          <w:szCs w:val="20"/>
        </w:rPr>
      </w:pPr>
      <w:bookmarkStart w:id="26" w:name="_Toc50988061"/>
      <w:bookmarkStart w:id="27" w:name="_Toc53379882"/>
      <w:r w:rsidRPr="008F235D">
        <w:rPr>
          <w:color w:val="121F6B"/>
          <w:sz w:val="36"/>
          <w:szCs w:val="20"/>
        </w:rPr>
        <w:lastRenderedPageBreak/>
        <w:t>Moving towards a non-disabling society is important</w:t>
      </w:r>
      <w:bookmarkEnd w:id="26"/>
      <w:bookmarkEnd w:id="27"/>
    </w:p>
    <w:p w14:paraId="0252B544" w14:textId="77777777" w:rsidR="00DB427A" w:rsidRPr="006E3758" w:rsidRDefault="00DB427A" w:rsidP="00DB427A">
      <w:bookmarkStart w:id="28" w:name="_Toc492970775"/>
      <w:r w:rsidRPr="006E3758">
        <w:t xml:space="preserve">People with impairments are disabled by barriers in society. If the barriers are removed people with impairments can enjoy life and contribute, just as others do. </w:t>
      </w:r>
    </w:p>
    <w:p w14:paraId="3A00ABA0" w14:textId="77777777" w:rsidR="00DB427A" w:rsidRPr="006E3758" w:rsidRDefault="00DB427A" w:rsidP="00DB427A">
      <w:r w:rsidRPr="006E3758">
        <w:t>The vision of the New Zealand Disability Strategy is:</w:t>
      </w:r>
    </w:p>
    <w:p w14:paraId="46C4DC43" w14:textId="77777777" w:rsidR="00DB427A" w:rsidRPr="006E3758" w:rsidRDefault="00DB427A" w:rsidP="00DB427A">
      <w:pPr>
        <w:ind w:left="720"/>
      </w:pPr>
      <w:r w:rsidRPr="006E3758">
        <w:t>“New Zealand is a non-disabling society - a place where disabled people have an equal opportunity to achieve their goals and aspirations, and all of New Zealand works together to make this happen.”</w:t>
      </w:r>
    </w:p>
    <w:p w14:paraId="0942DD98" w14:textId="77777777" w:rsidR="00DB427A" w:rsidRPr="006E3758" w:rsidRDefault="00DB427A" w:rsidP="00DB427A">
      <w:pPr>
        <w:ind w:left="720"/>
        <w:jc w:val="right"/>
      </w:pPr>
      <w:r w:rsidRPr="006E3758">
        <w:t>New Zealand Disability Strategy 2016-2026</w:t>
      </w:r>
    </w:p>
    <w:p w14:paraId="653BCF3B" w14:textId="77777777" w:rsidR="00DB427A" w:rsidRDefault="00DB427A" w:rsidP="00DB427A">
      <w:r w:rsidRPr="006E3758">
        <w:t xml:space="preserve">Moving towards a ‘non-disabling society’ is about removing the barriers in society that disable people with impairments. The New Zealand Disability Strategy uses this term rather than ‘enabling’, as ‘non-disabling’ </w:t>
      </w:r>
      <w:proofErr w:type="spellStart"/>
      <w:r w:rsidRPr="006E3758">
        <w:t>recognises</w:t>
      </w:r>
      <w:proofErr w:type="spellEnd"/>
      <w:r w:rsidRPr="006E3758">
        <w:t xml:space="preserve"> the need to completely remove barriers rather than expecting disabled people to navigate around them.</w:t>
      </w:r>
    </w:p>
    <w:p w14:paraId="428A016B" w14:textId="77777777" w:rsidR="00DB427A" w:rsidRPr="00C91718" w:rsidRDefault="00DB427A" w:rsidP="00DB427A">
      <w:r w:rsidRPr="00C91718">
        <w:t>Impairments can occur at any age and can be permanent or temporary. People may have or develop impairments from birth, injury, aging</w:t>
      </w:r>
      <w:r>
        <w:t>, or</w:t>
      </w:r>
      <w:r w:rsidRPr="00C91718">
        <w:t xml:space="preserve"> a health condition. </w:t>
      </w:r>
    </w:p>
    <w:p w14:paraId="436550CB" w14:textId="77777777" w:rsidR="00DB427A" w:rsidRPr="00C91718" w:rsidRDefault="00DB427A" w:rsidP="00DB427A">
      <w:r w:rsidRPr="00C91718">
        <w:t xml:space="preserve">Disabled New Zealanders and their families want life-opportunities equivalent to others. Just like everyone else, they want to enjoy our country, make their contribution, be employed, feel they belong in their community, have fun, be safe, and access support to make choices over their life. </w:t>
      </w:r>
    </w:p>
    <w:p w14:paraId="20D95D4E" w14:textId="77777777" w:rsidR="00DB427A" w:rsidRPr="00C91718" w:rsidRDefault="00DB427A" w:rsidP="00DB427A">
      <w:r>
        <w:t>However, m</w:t>
      </w:r>
      <w:r w:rsidRPr="00C91718">
        <w:t xml:space="preserve">any disabled people </w:t>
      </w:r>
      <w:bookmarkEnd w:id="28"/>
      <w:r w:rsidRPr="00C91718">
        <w:t>face reduced opportunities and this experience of poorer life outcomes has persisted over time.</w:t>
      </w:r>
    </w:p>
    <w:p w14:paraId="4DDD3FD8" w14:textId="77777777" w:rsidR="00DB427A" w:rsidRPr="008F235D" w:rsidRDefault="00DB427A" w:rsidP="00DB427A">
      <w:r w:rsidRPr="00C91718">
        <w:t>Disabled New Zealanders have poorer life outcomes compared with non-disabled people. Data from Statistics NZ surveys and the census consistently show disabled people have lower rates of employment, experience poorer educational outcomes, face higher health risks, live in poorer areas</w:t>
      </w:r>
      <w:r>
        <w:t xml:space="preserve">, and </w:t>
      </w:r>
      <w:r w:rsidRPr="00C91718">
        <w:t xml:space="preserve">are over-represented in low-income groups. </w:t>
      </w:r>
    </w:p>
    <w:p w14:paraId="3BE71863" w14:textId="77777777" w:rsidR="00DB427A" w:rsidRPr="009F7158" w:rsidRDefault="00DB427A" w:rsidP="00DB427A">
      <w:pPr>
        <w:pStyle w:val="Heading3"/>
        <w:keepNext/>
        <w:keepLines/>
        <w:spacing w:before="240"/>
        <w:rPr>
          <w:rFonts w:eastAsiaTheme="majorEastAsia"/>
          <w:bCs/>
          <w:color w:val="121F6B"/>
          <w:kern w:val="0"/>
          <w:szCs w:val="22"/>
          <w:lang w:val="en-NZ" w:eastAsia="en-AU"/>
        </w:rPr>
      </w:pPr>
      <w:bookmarkStart w:id="29" w:name="_Toc53379883"/>
      <w:bookmarkStart w:id="30" w:name="_Toc50988073"/>
      <w:bookmarkStart w:id="31" w:name="_Hlk50639566"/>
      <w:bookmarkStart w:id="32" w:name="_Toc50988063"/>
      <w:r>
        <w:rPr>
          <w:rFonts w:eastAsiaTheme="majorEastAsia"/>
          <w:bCs/>
          <w:color w:val="121F6B"/>
          <w:kern w:val="0"/>
          <w:szCs w:val="22"/>
          <w:lang w:val="en-NZ" w:eastAsia="en-AU"/>
        </w:rPr>
        <w:t>Significant opportunities to progress the rights and opportunities for disabled people</w:t>
      </w:r>
      <w:bookmarkEnd w:id="29"/>
    </w:p>
    <w:p w14:paraId="2B9F5C6B" w14:textId="77777777" w:rsidR="00DB427A" w:rsidRPr="00075160" w:rsidRDefault="00DB427A" w:rsidP="00DB427A">
      <w:r w:rsidRPr="00F32440">
        <w:t>Disabled people and representatives from the disability sector are also keen to engage with you. Appendix</w:t>
      </w:r>
      <w:r>
        <w:t xml:space="preserve"> 5</w:t>
      </w:r>
      <w:r w:rsidRPr="00F32440">
        <w:t xml:space="preserve"> provides a list of disability sector and wider community stakeholders that you are likely to have relationships with. We can facilitate introductions when you are ready to meet with them.</w:t>
      </w:r>
    </w:p>
    <w:p w14:paraId="1BA92F2B" w14:textId="77777777" w:rsidR="00DB427A" w:rsidRPr="00C91718" w:rsidRDefault="00DB427A" w:rsidP="00DB427A">
      <w:r w:rsidRPr="00CD671E">
        <w:t xml:space="preserve">While the Disabled People’s </w:t>
      </w:r>
      <w:proofErr w:type="spellStart"/>
      <w:r w:rsidRPr="00CD671E">
        <w:t>Organisations</w:t>
      </w:r>
      <w:proofErr w:type="spellEnd"/>
      <w:r w:rsidRPr="00CD671E">
        <w:t xml:space="preserve"> (DPO) Coalition reports that “significant progress has been made” across a wide range of difficult issues [see </w:t>
      </w:r>
      <w:r w:rsidRPr="00CD671E">
        <w:lastRenderedPageBreak/>
        <w:t>Appendix</w:t>
      </w:r>
      <w:r>
        <w:t xml:space="preserve"> 3</w:t>
      </w:r>
      <w:r w:rsidRPr="00CD671E">
        <w:t>], it also reports that there is more work to do to achieve equity with other New Zealanders</w:t>
      </w:r>
      <w:r>
        <w:t>.</w:t>
      </w:r>
    </w:p>
    <w:p w14:paraId="4483443C" w14:textId="77777777" w:rsidR="00DB427A" w:rsidRPr="00CA1B82" w:rsidRDefault="00DB427A" w:rsidP="00DB427A">
      <w:pPr>
        <w:rPr>
          <w:lang w:val="en-NZ" w:eastAsia="en-AU"/>
        </w:rPr>
      </w:pPr>
      <w:r>
        <w:rPr>
          <w:lang w:val="en-NZ" w:eastAsia="en-AU"/>
        </w:rPr>
        <w:t>There is</w:t>
      </w:r>
      <w:r w:rsidRPr="00CA1B82">
        <w:rPr>
          <w:lang w:val="en-NZ" w:eastAsia="en-AU"/>
        </w:rPr>
        <w:t xml:space="preserve"> opportunity to consider whether new machinery of government or institutional arrangements are needed across government </w:t>
      </w:r>
      <w:bookmarkEnd w:id="30"/>
      <w:r w:rsidRPr="00CA1B82">
        <w:rPr>
          <w:lang w:val="en-NZ" w:eastAsia="en-AU"/>
        </w:rPr>
        <w:t>to progress the rights and opportunities of disabled people</w:t>
      </w:r>
      <w:r>
        <w:rPr>
          <w:lang w:val="en-NZ" w:eastAsia="en-AU"/>
        </w:rPr>
        <w:t>.</w:t>
      </w:r>
    </w:p>
    <w:bookmarkEnd w:id="31"/>
    <w:p w14:paraId="7ADD93CD" w14:textId="77777777" w:rsidR="00DB427A" w:rsidRDefault="00DB427A" w:rsidP="00DB427A">
      <w:pPr>
        <w:pStyle w:val="Bullet1"/>
        <w:numPr>
          <w:ilvl w:val="0"/>
          <w:numId w:val="0"/>
        </w:numPr>
        <w:tabs>
          <w:tab w:val="clear" w:pos="454"/>
        </w:tabs>
        <w:rPr>
          <w:lang w:val="en-NZ"/>
        </w:rPr>
      </w:pPr>
      <w:r w:rsidRPr="00942B25">
        <w:t xml:space="preserve">There are substantial disability-focused policy </w:t>
      </w:r>
      <w:proofErr w:type="spellStart"/>
      <w:r w:rsidRPr="00942B25">
        <w:t>programmes</w:t>
      </w:r>
      <w:proofErr w:type="spellEnd"/>
      <w:r w:rsidRPr="00942B25">
        <w:t xml:space="preserve"> underway across government.</w:t>
      </w:r>
      <w:r>
        <w:t xml:space="preserve"> ODI, MSD Disability Policy and the Ministry of Health, as well as the disability sector, as represented by the Enabling Good Lives National Advisory Group, believe t</w:t>
      </w:r>
      <w:r w:rsidRPr="00942B25">
        <w:t>hese</w:t>
      </w:r>
      <w:r w:rsidRPr="00942B25">
        <w:rPr>
          <w:lang w:val="en-NZ"/>
        </w:rPr>
        <w:t xml:space="preserve"> key government work programmes creating a</w:t>
      </w:r>
      <w:r w:rsidRPr="00C84EF1">
        <w:rPr>
          <w:lang w:val="en-NZ"/>
        </w:rPr>
        <w:t xml:space="preserve"> need to consider whether current institutional arrangements are optimal for progressing the outcomes intended for disabled people.</w:t>
      </w:r>
      <w:r w:rsidRPr="003E3B3C">
        <w:rPr>
          <w:lang w:val="en-NZ"/>
        </w:rPr>
        <w:t xml:space="preserve"> </w:t>
      </w:r>
      <w:r w:rsidRPr="00B41779">
        <w:rPr>
          <w:lang w:val="en-NZ"/>
        </w:rPr>
        <w:t>There are three major policy work programmes, being led out of the Department of Prime Minister and Cabinet, the Ministry of Health and the Ministry for Social Development that create the opportunity to consider whether the current institutional or machinery of government arrangements are fit for purpose. These are</w:t>
      </w:r>
      <w:r>
        <w:rPr>
          <w:lang w:val="en-NZ"/>
        </w:rPr>
        <w:t xml:space="preserve"> significant work programme that will impact the lives of disabled people.</w:t>
      </w:r>
    </w:p>
    <w:p w14:paraId="217C0FCB" w14:textId="77777777" w:rsidR="00DB427A" w:rsidRDefault="00DB427A" w:rsidP="00DB427A">
      <w:pPr>
        <w:pStyle w:val="Bullet1"/>
        <w:numPr>
          <w:ilvl w:val="0"/>
          <w:numId w:val="2"/>
        </w:numPr>
        <w:tabs>
          <w:tab w:val="clear" w:pos="360"/>
          <w:tab w:val="clear" w:pos="454"/>
        </w:tabs>
        <w:ind w:left="284" w:right="-188" w:hanging="284"/>
        <w:rPr>
          <w:lang w:val="en-NZ"/>
        </w:rPr>
      </w:pPr>
      <w:r w:rsidRPr="00D01611">
        <w:t xml:space="preserve">The Department of Prime Minister and Cabinet has responsibility for responding to the recommendations of the Health and Disability System Review </w:t>
      </w:r>
      <w:r w:rsidRPr="00743491">
        <w:t>Report</w:t>
      </w:r>
      <w:r w:rsidRPr="00743491">
        <w:rPr>
          <w:rStyle w:val="FootnoteReference"/>
        </w:rPr>
        <w:footnoteReference w:id="4"/>
      </w:r>
      <w:r w:rsidRPr="00743491">
        <w:t xml:space="preserve">. The disability community sees the Report as a hugely important opportunity to improve the disability support system and to devolve it from Health. The disability community </w:t>
      </w:r>
      <w:r w:rsidRPr="00743491">
        <w:rPr>
          <w:lang w:val="en-NZ"/>
        </w:rPr>
        <w:t>seeks</w:t>
      </w:r>
      <w:r w:rsidRPr="004502A8">
        <w:rPr>
          <w:lang w:val="en-NZ"/>
        </w:rPr>
        <w:t xml:space="preserve"> equity of access to</w:t>
      </w:r>
      <w:r>
        <w:rPr>
          <w:lang w:val="en-NZ"/>
        </w:rPr>
        <w:t>,</w:t>
      </w:r>
      <w:r w:rsidRPr="004502A8">
        <w:rPr>
          <w:lang w:val="en-NZ"/>
        </w:rPr>
        <w:t xml:space="preserve"> and outcomes from</w:t>
      </w:r>
      <w:r>
        <w:rPr>
          <w:lang w:val="en-NZ"/>
        </w:rPr>
        <w:t>,</w:t>
      </w:r>
      <w:r w:rsidRPr="004502A8">
        <w:rPr>
          <w:lang w:val="en-NZ"/>
        </w:rPr>
        <w:t xml:space="preserve"> the health system</w:t>
      </w:r>
      <w:r>
        <w:rPr>
          <w:lang w:val="en-NZ"/>
        </w:rPr>
        <w:t>,</w:t>
      </w:r>
      <w:r w:rsidRPr="00D01611">
        <w:t xml:space="preserve"> </w:t>
      </w:r>
      <w:r>
        <w:t xml:space="preserve">and </w:t>
      </w:r>
      <w:r w:rsidRPr="00D01611">
        <w:rPr>
          <w:lang w:val="en-NZ"/>
        </w:rPr>
        <w:t xml:space="preserve">close and meaningful engagement of disabled people in the development of the </w:t>
      </w:r>
      <w:r>
        <w:t>Government’s</w:t>
      </w:r>
      <w:r w:rsidRPr="00D01611">
        <w:t xml:space="preserve"> </w:t>
      </w:r>
      <w:r w:rsidRPr="00D01611">
        <w:rPr>
          <w:lang w:val="en-NZ"/>
        </w:rPr>
        <w:t>response to the report</w:t>
      </w:r>
      <w:r>
        <w:rPr>
          <w:lang w:val="en-NZ"/>
        </w:rPr>
        <w:t xml:space="preserve">. </w:t>
      </w:r>
    </w:p>
    <w:p w14:paraId="2F769D03" w14:textId="77777777" w:rsidR="00DB427A" w:rsidRPr="00FD488B" w:rsidRDefault="00DB427A" w:rsidP="00DB427A">
      <w:pPr>
        <w:pStyle w:val="Bullet1"/>
        <w:numPr>
          <w:ilvl w:val="0"/>
          <w:numId w:val="2"/>
        </w:numPr>
        <w:tabs>
          <w:tab w:val="clear" w:pos="360"/>
          <w:tab w:val="clear" w:pos="454"/>
        </w:tabs>
        <w:ind w:left="284" w:hanging="284"/>
        <w:rPr>
          <w:lang w:val="en-NZ"/>
        </w:rPr>
      </w:pPr>
      <w:r w:rsidRPr="00FD488B">
        <w:rPr>
          <w:lang w:val="en-NZ"/>
        </w:rPr>
        <w:t>In particular</w:t>
      </w:r>
      <w:r>
        <w:rPr>
          <w:lang w:val="en-NZ"/>
        </w:rPr>
        <w:t>,</w:t>
      </w:r>
      <w:r w:rsidRPr="00FD488B">
        <w:rPr>
          <w:lang w:val="en-NZ"/>
        </w:rPr>
        <w:t xml:space="preserve"> the disability community is raising questions as to whether disability funding administered by the Disability Directorate of the Ministry of Health should remain in the Ministry of Health.</w:t>
      </w:r>
      <w:r>
        <w:rPr>
          <w:lang w:val="en-NZ"/>
        </w:rPr>
        <w:t xml:space="preserve"> </w:t>
      </w:r>
      <w:r w:rsidRPr="00FD488B">
        <w:rPr>
          <w:lang w:val="en-NZ"/>
        </w:rPr>
        <w:t xml:space="preserve">There is long-held disquiet in the disability community with disability support funding remaining in the health system because of its medical model legacy. </w:t>
      </w:r>
    </w:p>
    <w:p w14:paraId="747253C1" w14:textId="77777777" w:rsidR="00DB427A" w:rsidRPr="003E3B3C" w:rsidRDefault="00DB427A" w:rsidP="00DB427A">
      <w:pPr>
        <w:pStyle w:val="Bullet1"/>
        <w:numPr>
          <w:ilvl w:val="0"/>
          <w:numId w:val="2"/>
        </w:numPr>
        <w:tabs>
          <w:tab w:val="clear" w:pos="360"/>
          <w:tab w:val="clear" w:pos="454"/>
        </w:tabs>
        <w:ind w:left="284" w:hanging="284"/>
        <w:rPr>
          <w:lang w:val="en-NZ"/>
        </w:rPr>
      </w:pPr>
      <w:r>
        <w:rPr>
          <w:lang w:val="en-NZ"/>
        </w:rPr>
        <w:t xml:space="preserve">The Ministry of Health (with MSD Policy) will be providing a paper to Cabinet on the future of the Mana </w:t>
      </w:r>
      <w:proofErr w:type="spellStart"/>
      <w:r>
        <w:rPr>
          <w:lang w:val="en-NZ"/>
        </w:rPr>
        <w:t>Whaikaha</w:t>
      </w:r>
      <w:proofErr w:type="spellEnd"/>
      <w:r>
        <w:rPr>
          <w:lang w:val="en-NZ"/>
        </w:rPr>
        <w:t xml:space="preserve"> prototype being implemented in Mid Central DHB and the Enabling Good Lives demonstration projects in Waikato and Christchurch. At the heart of these initiatives is disabled people, and their </w:t>
      </w:r>
      <w:r w:rsidRPr="00632D87">
        <w:rPr>
          <w:lang w:val="en-NZ"/>
        </w:rPr>
        <w:t xml:space="preserve">families and </w:t>
      </w:r>
      <w:r>
        <w:rPr>
          <w:lang w:val="en-NZ"/>
        </w:rPr>
        <w:t>whanau,</w:t>
      </w:r>
      <w:r w:rsidRPr="00632D87">
        <w:rPr>
          <w:lang w:val="en-NZ"/>
        </w:rPr>
        <w:t xml:space="preserve"> hav</w:t>
      </w:r>
      <w:r>
        <w:rPr>
          <w:lang w:val="en-NZ"/>
        </w:rPr>
        <w:t>ing</w:t>
      </w:r>
      <w:r w:rsidRPr="00632D87">
        <w:rPr>
          <w:lang w:val="en-NZ"/>
        </w:rPr>
        <w:t xml:space="preserve"> greater choice and control in their lives</w:t>
      </w:r>
      <w:r>
        <w:rPr>
          <w:lang w:val="en-NZ"/>
        </w:rPr>
        <w:t>. The key principles and elements of this work are that the approaches support</w:t>
      </w:r>
      <w:r w:rsidRPr="00D01611">
        <w:t>:</w:t>
      </w:r>
    </w:p>
    <w:p w14:paraId="610400E2" w14:textId="77777777" w:rsidR="00DB427A" w:rsidRPr="00B15151" w:rsidRDefault="00DB427A" w:rsidP="00DB427A">
      <w:pPr>
        <w:pStyle w:val="Bullet1"/>
        <w:numPr>
          <w:ilvl w:val="0"/>
          <w:numId w:val="10"/>
        </w:numPr>
        <w:tabs>
          <w:tab w:val="clear" w:pos="454"/>
        </w:tabs>
        <w:ind w:left="709"/>
        <w:rPr>
          <w:lang w:val="en-NZ"/>
        </w:rPr>
      </w:pPr>
      <w:r w:rsidRPr="00B15151">
        <w:rPr>
          <w:lang w:val="en-NZ"/>
        </w:rPr>
        <w:t>self-determination by disabled people, with the system investing early</w:t>
      </w:r>
    </w:p>
    <w:p w14:paraId="71A2BBFC" w14:textId="77777777" w:rsidR="00DB427A" w:rsidRPr="00D01611" w:rsidRDefault="00DB427A" w:rsidP="00DB427A">
      <w:pPr>
        <w:pStyle w:val="Bullet1"/>
        <w:numPr>
          <w:ilvl w:val="0"/>
          <w:numId w:val="10"/>
        </w:numPr>
        <w:tabs>
          <w:tab w:val="clear" w:pos="454"/>
        </w:tabs>
        <w:ind w:left="709"/>
        <w:rPr>
          <w:lang w:val="en-NZ"/>
        </w:rPr>
      </w:pPr>
      <w:r w:rsidRPr="00D01611">
        <w:rPr>
          <w:lang w:val="en-NZ"/>
        </w:rPr>
        <w:t>being mana enhancing</w:t>
      </w:r>
      <w:r>
        <w:rPr>
          <w:lang w:val="en-NZ"/>
        </w:rPr>
        <w:t>,</w:t>
      </w:r>
      <w:r w:rsidRPr="00D01611">
        <w:rPr>
          <w:lang w:val="en-NZ"/>
        </w:rPr>
        <w:t xml:space="preserve"> person-centred and easy to use</w:t>
      </w:r>
    </w:p>
    <w:p w14:paraId="0B12A33E" w14:textId="77777777" w:rsidR="00DB427A" w:rsidRPr="00D01611" w:rsidRDefault="00DB427A" w:rsidP="00DB427A">
      <w:pPr>
        <w:pStyle w:val="Bullet1"/>
        <w:numPr>
          <w:ilvl w:val="0"/>
          <w:numId w:val="10"/>
        </w:numPr>
        <w:tabs>
          <w:tab w:val="clear" w:pos="454"/>
        </w:tabs>
        <w:ind w:left="709"/>
        <w:rPr>
          <w:lang w:val="en-NZ"/>
        </w:rPr>
      </w:pPr>
      <w:r w:rsidRPr="00D01611">
        <w:rPr>
          <w:lang w:val="en-NZ"/>
        </w:rPr>
        <w:t xml:space="preserve">disabled people </w:t>
      </w:r>
      <w:r>
        <w:rPr>
          <w:lang w:val="en-NZ"/>
        </w:rPr>
        <w:t xml:space="preserve">being able </w:t>
      </w:r>
      <w:r w:rsidRPr="00D01611">
        <w:rPr>
          <w:lang w:val="en-NZ"/>
        </w:rPr>
        <w:t>to live an everyday life like others at similar stages</w:t>
      </w:r>
    </w:p>
    <w:p w14:paraId="650D3C31" w14:textId="77777777" w:rsidR="00DB427A" w:rsidRPr="00D01611" w:rsidRDefault="00DB427A" w:rsidP="00DB427A">
      <w:pPr>
        <w:pStyle w:val="Bullet1"/>
        <w:numPr>
          <w:ilvl w:val="0"/>
          <w:numId w:val="10"/>
        </w:numPr>
        <w:tabs>
          <w:tab w:val="clear" w:pos="454"/>
        </w:tabs>
        <w:ind w:left="709"/>
        <w:rPr>
          <w:lang w:val="en-NZ"/>
        </w:rPr>
      </w:pPr>
      <w:r w:rsidRPr="00D01611">
        <w:rPr>
          <w:lang w:val="en-NZ"/>
        </w:rPr>
        <w:lastRenderedPageBreak/>
        <w:t>access to mainstream services</w:t>
      </w:r>
    </w:p>
    <w:p w14:paraId="47CB0642" w14:textId="77777777" w:rsidR="00DB427A" w:rsidRPr="00D01611" w:rsidRDefault="00DB427A" w:rsidP="00DB427A">
      <w:pPr>
        <w:pStyle w:val="Bullet1"/>
        <w:numPr>
          <w:ilvl w:val="0"/>
          <w:numId w:val="10"/>
        </w:numPr>
        <w:tabs>
          <w:tab w:val="clear" w:pos="454"/>
        </w:tabs>
        <w:ind w:left="709"/>
        <w:rPr>
          <w:lang w:val="en-NZ"/>
        </w:rPr>
      </w:pPr>
      <w:r w:rsidRPr="00D01611">
        <w:rPr>
          <w:lang w:val="en-NZ"/>
        </w:rPr>
        <w:t xml:space="preserve">building and strengthening relationships between disabled people, their whānau and families and the community. </w:t>
      </w:r>
    </w:p>
    <w:p w14:paraId="52BBDF60" w14:textId="77777777" w:rsidR="00DB427A" w:rsidRDefault="00DB427A" w:rsidP="00DB427A">
      <w:pPr>
        <w:pStyle w:val="Bullet1"/>
        <w:numPr>
          <w:ilvl w:val="0"/>
          <w:numId w:val="2"/>
        </w:numPr>
        <w:tabs>
          <w:tab w:val="clear" w:pos="360"/>
          <w:tab w:val="clear" w:pos="454"/>
        </w:tabs>
        <w:ind w:left="284" w:right="-188" w:hanging="284"/>
      </w:pPr>
      <w:r w:rsidRPr="00CA1B82">
        <w:t xml:space="preserve">In </w:t>
      </w:r>
      <w:r>
        <w:t xml:space="preserve">June </w:t>
      </w:r>
      <w:r w:rsidRPr="00CA1B82">
        <w:t xml:space="preserve">2020, the Minister for Disability Issues gained Cabinet commitment to </w:t>
      </w:r>
      <w:r>
        <w:t xml:space="preserve">further policy work on a new legislative framework to </w:t>
      </w:r>
      <w:r w:rsidRPr="00CA1B82">
        <w:t>accelerat</w:t>
      </w:r>
      <w:r>
        <w:t>e</w:t>
      </w:r>
      <w:r w:rsidRPr="00CA1B82">
        <w:t xml:space="preserve"> </w:t>
      </w:r>
      <w:r>
        <w:t xml:space="preserve">progress on </w:t>
      </w:r>
      <w:r w:rsidRPr="00CA1B82">
        <w:t>accessibility</w:t>
      </w:r>
      <w:r>
        <w:t xml:space="preserve"> in New Zealand. This work is an action under the Disability Action Plan that MSD has responsibility for. While the work has a focus on disabled people, improved accessibility will also bring benefits to others </w:t>
      </w:r>
      <w:r w:rsidRPr="00D01611">
        <w:t>including Māori, older people</w:t>
      </w:r>
      <w:r>
        <w:t>,</w:t>
      </w:r>
      <w:r w:rsidRPr="00D01611">
        <w:t xml:space="preserve"> and </w:t>
      </w:r>
      <w:proofErr w:type="spellStart"/>
      <w:r w:rsidRPr="00D01611">
        <w:t>carers</w:t>
      </w:r>
      <w:proofErr w:type="spellEnd"/>
      <w:r w:rsidRPr="00D01611">
        <w:t>.</w:t>
      </w:r>
      <w:r w:rsidRPr="00CA1B82">
        <w:t xml:space="preserve"> </w:t>
      </w:r>
    </w:p>
    <w:p w14:paraId="0C755812" w14:textId="77777777" w:rsidR="00DB427A" w:rsidRDefault="00DB427A" w:rsidP="00DB427A">
      <w:pPr>
        <w:pStyle w:val="Bullet1"/>
        <w:numPr>
          <w:ilvl w:val="0"/>
          <w:numId w:val="2"/>
        </w:numPr>
        <w:tabs>
          <w:tab w:val="clear" w:pos="360"/>
          <w:tab w:val="clear" w:pos="454"/>
        </w:tabs>
        <w:ind w:left="284" w:right="-188" w:hanging="284"/>
      </w:pPr>
      <w:r>
        <w:t xml:space="preserve">MSD is working in partnership with the Access Alliance to progress this work and final Cabinet decisions on a proposal for a new legislative framework are expected in May 2021. </w:t>
      </w:r>
      <w:r w:rsidRPr="00D01611">
        <w:t>There is cross-party support for this work through the Parliamentary Champions for Accessibility Legislation (PCAL).</w:t>
      </w:r>
      <w:r>
        <w:t xml:space="preserve"> </w:t>
      </w:r>
    </w:p>
    <w:p w14:paraId="0CC05720" w14:textId="77777777" w:rsidR="00DB427A" w:rsidRDefault="00DB427A" w:rsidP="00DB427A">
      <w:pPr>
        <w:pStyle w:val="Bullet1"/>
        <w:numPr>
          <w:ilvl w:val="0"/>
          <w:numId w:val="2"/>
        </w:numPr>
        <w:tabs>
          <w:tab w:val="clear" w:pos="360"/>
          <w:tab w:val="clear" w:pos="454"/>
        </w:tabs>
        <w:ind w:left="284" w:right="-188" w:hanging="284"/>
      </w:pPr>
      <w:r>
        <w:t>The secondary BIM on accessibility provides more detail on the accessibility work.</w:t>
      </w:r>
    </w:p>
    <w:p w14:paraId="49DB1D06" w14:textId="77777777" w:rsidR="00DB427A" w:rsidRPr="00142E9E" w:rsidRDefault="00DB427A" w:rsidP="00DB427A">
      <w:pPr>
        <w:pStyle w:val="Heading3"/>
        <w:keepNext/>
        <w:keepLines/>
        <w:spacing w:before="240"/>
        <w:rPr>
          <w:rFonts w:eastAsiaTheme="majorEastAsia"/>
          <w:bCs/>
          <w:color w:val="121F6B"/>
          <w:kern w:val="0"/>
          <w:szCs w:val="22"/>
          <w:lang w:val="en-NZ" w:eastAsia="en-AU"/>
        </w:rPr>
      </w:pPr>
      <w:bookmarkStart w:id="33" w:name="_Toc53379884"/>
      <w:r w:rsidRPr="00142E9E">
        <w:rPr>
          <w:rFonts w:eastAsiaTheme="majorEastAsia"/>
          <w:bCs/>
          <w:color w:val="121F6B"/>
          <w:kern w:val="0"/>
          <w:szCs w:val="22"/>
          <w:lang w:val="en-NZ" w:eastAsia="en-AU"/>
        </w:rPr>
        <w:t>How are disabled people in New Zealand doing?</w:t>
      </w:r>
      <w:bookmarkEnd w:id="32"/>
      <w:bookmarkEnd w:id="33"/>
      <w:r w:rsidRPr="00142E9E">
        <w:rPr>
          <w:rFonts w:eastAsiaTheme="majorEastAsia"/>
          <w:bCs/>
          <w:color w:val="121F6B"/>
          <w:kern w:val="0"/>
          <w:szCs w:val="22"/>
          <w:lang w:val="en-NZ" w:eastAsia="en-AU"/>
        </w:rPr>
        <w:t xml:space="preserve"> </w:t>
      </w:r>
    </w:p>
    <w:p w14:paraId="75F54412" w14:textId="77777777" w:rsidR="00DB427A" w:rsidRPr="00B15151" w:rsidRDefault="00DB427A" w:rsidP="00DB427A">
      <w:r w:rsidRPr="00C91718">
        <w:t xml:space="preserve">There is a lack of timely, reliable and accessible administrative data collected about </w:t>
      </w:r>
      <w:r w:rsidRPr="00B15151">
        <w:t>disabled New Zealanders</w:t>
      </w:r>
      <w:r>
        <w:rPr>
          <w:rStyle w:val="FootnoteReference"/>
        </w:rPr>
        <w:footnoteReference w:id="5"/>
      </w:r>
      <w:r w:rsidRPr="00B15151">
        <w:t>. This</w:t>
      </w:r>
      <w:r w:rsidRPr="00C91718">
        <w:t xml:space="preserve"> </w:t>
      </w:r>
      <w:r>
        <w:t>i</w:t>
      </w:r>
      <w:r w:rsidRPr="00C91718">
        <w:t xml:space="preserve">s a barrier to effective policy and service development and to measuring and reporting on the progress for disabled </w:t>
      </w:r>
      <w:r w:rsidRPr="00B15151">
        <w:t xml:space="preserve">people. </w:t>
      </w:r>
    </w:p>
    <w:p w14:paraId="5D415F06" w14:textId="77777777" w:rsidR="00DB427A" w:rsidRDefault="00DB427A" w:rsidP="00DB427A">
      <w:r w:rsidRPr="00B15151">
        <w:t>In the interim, the</w:t>
      </w:r>
      <w:r w:rsidRPr="00C91718">
        <w:t xml:space="preserve"> New Zealand Disability Survey (2013) is still relied on as a source of comprehensive data on the lives of disabled people and estimates of the number of disabled people in Aotearoa. The Disability Survey will run again in 20</w:t>
      </w:r>
      <w:r>
        <w:t>2</w:t>
      </w:r>
      <w:r w:rsidRPr="00C91718">
        <w:t>3</w:t>
      </w:r>
      <w:r>
        <w:t>, following the 2022 census</w:t>
      </w:r>
      <w:r w:rsidRPr="00C91718">
        <w:t xml:space="preserve">. </w:t>
      </w:r>
    </w:p>
    <w:p w14:paraId="2FE74604" w14:textId="77777777" w:rsidR="00DB427A" w:rsidRDefault="00DB427A" w:rsidP="00DB427A">
      <w:r w:rsidRPr="00C91718">
        <w:t xml:space="preserve">Most agencies do not systematically collect administrative data on the reach of their services and policies for disabled people or on the impact for disabled people. </w:t>
      </w:r>
    </w:p>
    <w:p w14:paraId="5675E350" w14:textId="77777777" w:rsidR="00DB427A" w:rsidRPr="00C91718" w:rsidRDefault="00DB427A" w:rsidP="00DB427A">
      <w:r w:rsidRPr="00C91718">
        <w:t>The data currently available, such as census data and other Statistics NZ and agency surveys, is</w:t>
      </w:r>
      <w:r>
        <w:t xml:space="preserve"> important but</w:t>
      </w:r>
      <w:r w:rsidRPr="00C91718">
        <w:t xml:space="preserve"> insufficient for reporting progress against the outcomes and indicators in the New Zealand Disability Strategy 2016-2026. The development of disability data to better inform policy and services for all people remains a priority issue. </w:t>
      </w:r>
    </w:p>
    <w:p w14:paraId="039E686E" w14:textId="77777777" w:rsidR="00DB427A" w:rsidRPr="00B15151" w:rsidRDefault="00DB427A" w:rsidP="00DB427A">
      <w:r w:rsidRPr="00B15151">
        <w:t xml:space="preserve">The data that is available and represented in Figure </w:t>
      </w:r>
      <w:r>
        <w:t>3</w:t>
      </w:r>
      <w:r w:rsidRPr="00B15151">
        <w:t xml:space="preserve"> shows the disparity in life outcomes between disabled people and non-disabled people. Your role, with ministerial colleagues, is crucial to improving outcomes for disabled people. </w:t>
      </w:r>
    </w:p>
    <w:p w14:paraId="6F18FACE" w14:textId="77777777" w:rsidR="00DB427A" w:rsidRDefault="00DB427A" w:rsidP="00DB427A">
      <w:pPr>
        <w:pStyle w:val="Heading4"/>
        <w:keepNext/>
        <w:keepLines/>
        <w:spacing w:before="480" w:after="60"/>
        <w:rPr>
          <w:rFonts w:eastAsiaTheme="majorEastAsia" w:cs="Times New Roman"/>
          <w:b/>
          <w:bCs/>
          <w:i w:val="0"/>
          <w:iCs/>
          <w:color w:val="121F6B"/>
          <w:kern w:val="0"/>
          <w:szCs w:val="20"/>
          <w:lang w:val="en-NZ"/>
        </w:rPr>
      </w:pPr>
      <w:bookmarkStart w:id="34" w:name="_Hlk51572762"/>
      <w:r w:rsidRPr="00B15151">
        <w:rPr>
          <w:rFonts w:eastAsiaTheme="majorEastAsia" w:cs="Times New Roman"/>
          <w:b/>
          <w:bCs/>
          <w:i w:val="0"/>
          <w:iCs/>
          <w:color w:val="121F6B"/>
          <w:kern w:val="0"/>
          <w:szCs w:val="20"/>
          <w:lang w:val="en-NZ"/>
        </w:rPr>
        <w:lastRenderedPageBreak/>
        <w:t xml:space="preserve">Figure </w:t>
      </w:r>
      <w:r>
        <w:rPr>
          <w:rFonts w:eastAsiaTheme="majorEastAsia" w:cs="Times New Roman"/>
          <w:b/>
          <w:bCs/>
          <w:i w:val="0"/>
          <w:iCs/>
          <w:color w:val="121F6B"/>
          <w:kern w:val="0"/>
          <w:szCs w:val="20"/>
          <w:lang w:val="en-NZ"/>
        </w:rPr>
        <w:t>3</w:t>
      </w:r>
      <w:r w:rsidRPr="00B15151">
        <w:rPr>
          <w:rFonts w:eastAsiaTheme="majorEastAsia" w:cs="Times New Roman"/>
          <w:b/>
          <w:bCs/>
          <w:i w:val="0"/>
          <w:iCs/>
          <w:color w:val="121F6B"/>
          <w:kern w:val="0"/>
          <w:szCs w:val="20"/>
          <w:lang w:val="en-NZ"/>
        </w:rPr>
        <w:t>: Disparity in life outcomes between disabled and non-disabled people</w:t>
      </w:r>
      <w:r w:rsidRPr="00B15151">
        <w:rPr>
          <w:rStyle w:val="FootnoteReference"/>
          <w:rFonts w:eastAsiaTheme="majorEastAsia"/>
          <w:b/>
          <w:bCs/>
          <w:i w:val="0"/>
          <w:iCs/>
          <w:color w:val="121F6B"/>
          <w:kern w:val="0"/>
        </w:rPr>
        <w:footnoteReference w:id="6"/>
      </w:r>
      <w:r w:rsidRPr="00CF2B7B">
        <w:rPr>
          <w:rFonts w:eastAsiaTheme="majorEastAsia" w:cs="Times New Roman"/>
          <w:b/>
          <w:bCs/>
          <w:i w:val="0"/>
          <w:iCs/>
          <w:color w:val="121F6B"/>
          <w:kern w:val="0"/>
          <w:szCs w:val="20"/>
          <w:lang w:val="en-NZ"/>
        </w:rPr>
        <w:t xml:space="preserve"> </w:t>
      </w:r>
      <w:bookmarkEnd w:id="34"/>
    </w:p>
    <w:p w14:paraId="2C5AAF8B" w14:textId="77777777" w:rsidR="00DB427A" w:rsidRPr="000B2D3F" w:rsidRDefault="00DB427A" w:rsidP="00DB427A">
      <w:pPr>
        <w:rPr>
          <w:lang w:val="en-NZ"/>
        </w:rPr>
      </w:pPr>
      <w:r>
        <w:rPr>
          <w:noProof/>
        </w:rPr>
        <w:drawing>
          <wp:inline distT="0" distB="0" distL="0" distR="0" wp14:anchorId="6DBB9F6D" wp14:editId="51E0035F">
            <wp:extent cx="5730149" cy="3904090"/>
            <wp:effectExtent l="0" t="0" r="4445" b="1270"/>
            <wp:docPr id="11" name="Picture 11" descr="Table comparing disabled people with non-disabled for: post-grad qualifications [39% v's 35%], employment [23% v's 69%], life satisfaction [56% v's 85%], age standardised victimisation rate [40% v's 30%], unsuitable housing [16% v's 6%] and experience of discrimination [30% v's 19%]. &#10;[All data is from the 2020 Household Labour Force Survey except for Victimisation which is from the 2018/19 New Zealand Crime and Victim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 descr="cid:image005.png@01D68FFC.A7AE80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802592" cy="3953447"/>
                    </a:xfrm>
                    <a:prstGeom prst="rect">
                      <a:avLst/>
                    </a:prstGeom>
                    <a:noFill/>
                    <a:ln>
                      <a:noFill/>
                    </a:ln>
                  </pic:spPr>
                </pic:pic>
              </a:graphicData>
            </a:graphic>
          </wp:inline>
        </w:drawing>
      </w:r>
    </w:p>
    <w:p w14:paraId="2E0D20F8" w14:textId="77777777" w:rsidR="00DB427A" w:rsidRDefault="00DB427A" w:rsidP="00DB427A">
      <w:pPr>
        <w:pStyle w:val="Bullet1"/>
        <w:numPr>
          <w:ilvl w:val="0"/>
          <w:numId w:val="0"/>
        </w:numPr>
        <w:tabs>
          <w:tab w:val="clear" w:pos="454"/>
        </w:tabs>
      </w:pPr>
      <w:bookmarkStart w:id="35" w:name="_Toc50988064"/>
    </w:p>
    <w:p w14:paraId="48B689C8" w14:textId="77777777" w:rsidR="00DB427A" w:rsidRPr="006E3758" w:rsidRDefault="00DB427A" w:rsidP="00DB427A">
      <w:pPr>
        <w:pStyle w:val="Bullet1"/>
        <w:numPr>
          <w:ilvl w:val="0"/>
          <w:numId w:val="0"/>
        </w:numPr>
        <w:tabs>
          <w:tab w:val="clear" w:pos="454"/>
        </w:tabs>
      </w:pPr>
      <w:r w:rsidRPr="006E3758">
        <w:t>COVID-19 shone a light on many good things in the disability sector and highlighted that some things still need to be done. T</w:t>
      </w:r>
      <w:r w:rsidRPr="006E3758">
        <w:rPr>
          <w:szCs w:val="22"/>
        </w:rPr>
        <w:t xml:space="preserve">here is an opportunity to build on responses to concerns about the impacts of COVID-19 on disabled people through enhancements to the Disability Action Plan work </w:t>
      </w:r>
      <w:proofErr w:type="spellStart"/>
      <w:r w:rsidRPr="006E3758">
        <w:rPr>
          <w:szCs w:val="22"/>
        </w:rPr>
        <w:t>programmes</w:t>
      </w:r>
      <w:proofErr w:type="spellEnd"/>
      <w:r w:rsidRPr="006E3758">
        <w:rPr>
          <w:szCs w:val="22"/>
        </w:rPr>
        <w:t xml:space="preserve">. </w:t>
      </w:r>
    </w:p>
    <w:p w14:paraId="1DD0A6A2" w14:textId="77777777" w:rsidR="00DB427A" w:rsidRPr="006E3758" w:rsidRDefault="00DB427A" w:rsidP="00DB427A">
      <w:pPr>
        <w:rPr>
          <w:szCs w:val="22"/>
        </w:rPr>
      </w:pPr>
      <w:r w:rsidRPr="006E3758">
        <w:rPr>
          <w:szCs w:val="22"/>
        </w:rPr>
        <w:t xml:space="preserve">Online platforms and digital services provided opportunities for some disabled people, and increased barriers for others. </w:t>
      </w:r>
    </w:p>
    <w:p w14:paraId="68955AAF" w14:textId="77777777" w:rsidR="00DB427A" w:rsidRPr="0001522A" w:rsidRDefault="00DB427A" w:rsidP="00DB427A">
      <w:pPr>
        <w:pStyle w:val="Bodyintrotext"/>
      </w:pPr>
      <w:r w:rsidRPr="0001522A">
        <w:t>The positives noted in ODI surveys and through anecdotal feedback included:</w:t>
      </w:r>
    </w:p>
    <w:p w14:paraId="44C4D081" w14:textId="77777777" w:rsidR="00DB427A" w:rsidRPr="006E3758" w:rsidRDefault="00DB427A" w:rsidP="00DB427A">
      <w:pPr>
        <w:pStyle w:val="Bullet1"/>
        <w:numPr>
          <w:ilvl w:val="0"/>
          <w:numId w:val="2"/>
        </w:numPr>
        <w:tabs>
          <w:tab w:val="clear" w:pos="360"/>
          <w:tab w:val="clear" w:pos="454"/>
        </w:tabs>
        <w:ind w:left="284" w:hanging="284"/>
      </w:pPr>
      <w:r w:rsidRPr="006E3758">
        <w:t xml:space="preserve">increased flexibility of services, and community-based support </w:t>
      </w:r>
    </w:p>
    <w:p w14:paraId="4D7FB20A" w14:textId="77777777" w:rsidR="00DB427A" w:rsidRPr="006E3758" w:rsidRDefault="00DB427A" w:rsidP="00DB427A">
      <w:pPr>
        <w:pStyle w:val="Bullet1"/>
        <w:numPr>
          <w:ilvl w:val="0"/>
          <w:numId w:val="2"/>
        </w:numPr>
        <w:tabs>
          <w:tab w:val="clear" w:pos="360"/>
          <w:tab w:val="clear" w:pos="454"/>
        </w:tabs>
        <w:ind w:left="284" w:hanging="284"/>
      </w:pPr>
      <w:r w:rsidRPr="006E3758">
        <w:t xml:space="preserve">having more time with family and less time with inaccessible transport </w:t>
      </w:r>
    </w:p>
    <w:p w14:paraId="36DE06EB" w14:textId="77777777" w:rsidR="00DB427A" w:rsidRPr="0001522A" w:rsidRDefault="00DB427A" w:rsidP="00DB427A">
      <w:pPr>
        <w:pStyle w:val="Bullet1"/>
        <w:numPr>
          <w:ilvl w:val="0"/>
          <w:numId w:val="2"/>
        </w:numPr>
        <w:tabs>
          <w:tab w:val="clear" w:pos="360"/>
          <w:tab w:val="clear" w:pos="454"/>
        </w:tabs>
        <w:ind w:left="284" w:hanging="284"/>
        <w:rPr>
          <w:lang w:val="en-NZ"/>
        </w:rPr>
      </w:pPr>
      <w:r w:rsidRPr="006E3758">
        <w:t>designated</w:t>
      </w:r>
      <w:r w:rsidRPr="006E3758">
        <w:rPr>
          <w:lang w:val="en-NZ"/>
        </w:rPr>
        <w:t xml:space="preserve"> supermarket shopping times and more access to</w:t>
      </w:r>
      <w:r>
        <w:rPr>
          <w:lang w:val="en-NZ"/>
        </w:rPr>
        <w:t xml:space="preserve"> the </w:t>
      </w:r>
      <w:r w:rsidRPr="006E3758">
        <w:rPr>
          <w:lang w:val="en-NZ"/>
        </w:rPr>
        <w:t>Total Mobility</w:t>
      </w:r>
      <w:r>
        <w:t xml:space="preserve"> scheme, funded by the</w:t>
      </w:r>
      <w:r>
        <w:rPr>
          <w:lang w:val="en-NZ"/>
        </w:rPr>
        <w:t xml:space="preserve"> New Zealand Transport Agency</w:t>
      </w:r>
      <w:r w:rsidRPr="006E3758">
        <w:rPr>
          <w:lang w:val="en-NZ"/>
        </w:rPr>
        <w:t>.</w:t>
      </w:r>
    </w:p>
    <w:p w14:paraId="7EBC44AD" w14:textId="77777777" w:rsidR="00DB427A" w:rsidRPr="0001522A" w:rsidRDefault="00DB427A" w:rsidP="00DB427A">
      <w:pPr>
        <w:pStyle w:val="Bodyintrotext"/>
      </w:pPr>
      <w:r w:rsidRPr="0001522A">
        <w:t xml:space="preserve">The difficulties and challenges noted focused on: </w:t>
      </w:r>
    </w:p>
    <w:p w14:paraId="17A3A2DA" w14:textId="77777777" w:rsidR="00DB427A" w:rsidRPr="006E3758" w:rsidRDefault="00DB427A" w:rsidP="00DB427A">
      <w:pPr>
        <w:pStyle w:val="Bullet1"/>
        <w:numPr>
          <w:ilvl w:val="0"/>
          <w:numId w:val="2"/>
        </w:numPr>
        <w:tabs>
          <w:tab w:val="clear" w:pos="360"/>
          <w:tab w:val="clear" w:pos="454"/>
        </w:tabs>
        <w:ind w:left="284" w:hanging="284"/>
        <w:rPr>
          <w:lang w:val="en-NZ"/>
        </w:rPr>
      </w:pPr>
      <w:r w:rsidRPr="006E3758">
        <w:t>the</w:t>
      </w:r>
      <w:r w:rsidRPr="006E3758">
        <w:rPr>
          <w:lang w:val="en-NZ"/>
        </w:rPr>
        <w:t xml:space="preserve"> accessibility of COVID-19 communications and information</w:t>
      </w:r>
    </w:p>
    <w:p w14:paraId="7BAB3E5D" w14:textId="77777777" w:rsidR="00DB427A" w:rsidRPr="006E3758" w:rsidRDefault="00DB427A" w:rsidP="00DB427A">
      <w:pPr>
        <w:pStyle w:val="Bullet1"/>
        <w:numPr>
          <w:ilvl w:val="0"/>
          <w:numId w:val="2"/>
        </w:numPr>
        <w:tabs>
          <w:tab w:val="clear" w:pos="360"/>
          <w:tab w:val="clear" w:pos="454"/>
        </w:tabs>
        <w:ind w:left="284" w:hanging="284"/>
        <w:rPr>
          <w:lang w:val="en-NZ"/>
        </w:rPr>
      </w:pPr>
      <w:r w:rsidRPr="006E3758">
        <w:lastRenderedPageBreak/>
        <w:t>access</w:t>
      </w:r>
      <w:r w:rsidRPr="006E3758">
        <w:rPr>
          <w:lang w:val="en-NZ"/>
        </w:rPr>
        <w:t xml:space="preserve"> to PPE, particularly for services provided in a person’s home</w:t>
      </w:r>
    </w:p>
    <w:p w14:paraId="73846653" w14:textId="77777777" w:rsidR="00DB427A" w:rsidRPr="006E3758" w:rsidRDefault="00DB427A" w:rsidP="00DB427A">
      <w:pPr>
        <w:pStyle w:val="Bullet1"/>
        <w:numPr>
          <w:ilvl w:val="0"/>
          <w:numId w:val="2"/>
        </w:numPr>
        <w:tabs>
          <w:tab w:val="clear" w:pos="360"/>
          <w:tab w:val="clear" w:pos="454"/>
        </w:tabs>
        <w:ind w:left="284" w:hanging="284"/>
        <w:rPr>
          <w:lang w:val="en-NZ"/>
        </w:rPr>
      </w:pPr>
      <w:r w:rsidRPr="006E3758">
        <w:t>increased</w:t>
      </w:r>
      <w:r w:rsidRPr="006E3758">
        <w:rPr>
          <w:lang w:val="en-NZ"/>
        </w:rPr>
        <w:t xml:space="preserve"> reliance on others for shopping and community access</w:t>
      </w:r>
    </w:p>
    <w:p w14:paraId="395677C3" w14:textId="77777777" w:rsidR="00DB427A" w:rsidRPr="006E3758" w:rsidRDefault="00DB427A" w:rsidP="00DB427A">
      <w:pPr>
        <w:pStyle w:val="Bullet1"/>
        <w:numPr>
          <w:ilvl w:val="0"/>
          <w:numId w:val="2"/>
        </w:numPr>
        <w:tabs>
          <w:tab w:val="clear" w:pos="360"/>
          <w:tab w:val="clear" w:pos="454"/>
        </w:tabs>
        <w:ind w:left="284" w:hanging="284"/>
      </w:pPr>
      <w:r w:rsidRPr="006E3758">
        <w:t xml:space="preserve">increased fear of exposure for those with elevated risk levels </w:t>
      </w:r>
    </w:p>
    <w:p w14:paraId="453D4630" w14:textId="77777777" w:rsidR="00DB427A" w:rsidRPr="006E3758" w:rsidRDefault="00DB427A" w:rsidP="00DB427A">
      <w:pPr>
        <w:pStyle w:val="Bullet1"/>
        <w:numPr>
          <w:ilvl w:val="0"/>
          <w:numId w:val="2"/>
        </w:numPr>
        <w:tabs>
          <w:tab w:val="clear" w:pos="360"/>
          <w:tab w:val="clear" w:pos="454"/>
        </w:tabs>
        <w:ind w:left="284" w:hanging="284"/>
      </w:pPr>
      <w:r w:rsidRPr="006E3758">
        <w:t>mask wearing and the process to establish exemptions when required.</w:t>
      </w:r>
    </w:p>
    <w:p w14:paraId="5ABA6AD0" w14:textId="77777777" w:rsidR="00DB427A" w:rsidRPr="00142E9E" w:rsidRDefault="00DB427A" w:rsidP="00DB427A">
      <w:pPr>
        <w:pStyle w:val="Heading3"/>
        <w:keepNext/>
        <w:keepLines/>
        <w:spacing w:before="240"/>
        <w:rPr>
          <w:rFonts w:eastAsiaTheme="majorEastAsia"/>
          <w:bCs/>
          <w:color w:val="121F6B"/>
          <w:kern w:val="0"/>
          <w:szCs w:val="22"/>
          <w:lang w:val="en-NZ" w:eastAsia="en-AU"/>
        </w:rPr>
      </w:pPr>
      <w:bookmarkStart w:id="36" w:name="_Toc53379885"/>
      <w:r w:rsidRPr="00142E9E">
        <w:rPr>
          <w:rFonts w:eastAsiaTheme="majorEastAsia"/>
          <w:bCs/>
          <w:color w:val="121F6B"/>
          <w:kern w:val="0"/>
          <w:szCs w:val="22"/>
          <w:lang w:val="en-NZ" w:eastAsia="en-AU"/>
        </w:rPr>
        <w:t>Disabled New Zealanders are not a homogenous group</w:t>
      </w:r>
      <w:bookmarkEnd w:id="35"/>
      <w:bookmarkEnd w:id="36"/>
    </w:p>
    <w:p w14:paraId="3CA0A36D" w14:textId="77777777" w:rsidR="00DB427A" w:rsidRPr="00C91718" w:rsidRDefault="00DB427A" w:rsidP="00DB427A">
      <w:bookmarkStart w:id="37" w:name="_Hlk47439285"/>
      <w:r w:rsidRPr="00C91718">
        <w:t xml:space="preserve">There are many ways in which a disabled person may identify as disabled, and there are different ways in which people may experience disability. Many disabled people experience multiple forms of disability. </w:t>
      </w:r>
    </w:p>
    <w:p w14:paraId="79AA5BB8" w14:textId="77777777" w:rsidR="00DB427A" w:rsidRPr="00C91718" w:rsidRDefault="00DB427A" w:rsidP="00DB427A">
      <w:r w:rsidRPr="00C91718">
        <w:t xml:space="preserve">The New Zealand Disability Strategy explains that disability is something that happens when people with impairments face barriers in society. It is society that disables people, not people’s impairments. </w:t>
      </w:r>
      <w:bookmarkStart w:id="38" w:name="_Hlk49867735"/>
    </w:p>
    <w:p w14:paraId="178D9ADB" w14:textId="77777777" w:rsidR="00DB427A" w:rsidRPr="00C91718" w:rsidRDefault="00DB427A" w:rsidP="00DB427A">
      <w:r>
        <w:t>The d</w:t>
      </w:r>
      <w:r w:rsidRPr="00C91718">
        <w:t>isability</w:t>
      </w:r>
      <w:r>
        <w:t xml:space="preserve"> community</w:t>
      </w:r>
      <w:r w:rsidRPr="00C91718">
        <w:t xml:space="preserve"> is a priority population to be considered in policy and service development alongside other priority population groups, such as Māori, Pacific peoples, children, seniors, women, people who are gender diverse, veterans, rural communities and ethnic communities. </w:t>
      </w:r>
    </w:p>
    <w:p w14:paraId="2E7A8486" w14:textId="77777777" w:rsidR="00DB427A" w:rsidRPr="00C91718" w:rsidRDefault="00DB427A" w:rsidP="00DB427A">
      <w:r w:rsidRPr="00C91718">
        <w:t>In the 2013 New Zealand Disability Survey, 1.1 million New Zealanders (24 percent of New Zealand’s population) identified as being disabled, meaning they identified that they have some form of long-lasting impairment.</w:t>
      </w:r>
    </w:p>
    <w:bookmarkEnd w:id="38"/>
    <w:p w14:paraId="2D3ACEAA" w14:textId="77777777" w:rsidR="00DB427A" w:rsidRPr="00C91718" w:rsidRDefault="00DB427A" w:rsidP="00DB427A">
      <w:r w:rsidRPr="00C91718">
        <w:t>Every person is unique</w:t>
      </w:r>
      <w:r>
        <w:t>,</w:t>
      </w:r>
      <w:r w:rsidRPr="00C91718">
        <w:t xml:space="preserve"> and even if a person has the same impairment as someone else, that person </w:t>
      </w:r>
      <w:r>
        <w:t>may</w:t>
      </w:r>
      <w:r w:rsidRPr="00C91718">
        <w:t xml:space="preserve"> experience different opportunities and barriers because of where they live and how they are treated by people around them.</w:t>
      </w:r>
      <w:r>
        <w:t xml:space="preserve"> </w:t>
      </w:r>
      <w:r w:rsidRPr="00C91718">
        <w:t xml:space="preserve">The time and context in a disabled person’s life when they may acquire their impairment(s) also informs what barriers or opportunities they may experience. This social model (as opposed to a medical model) of disability is embodied in the UNCRPD. It </w:t>
      </w:r>
      <w:r>
        <w:t>promotes</w:t>
      </w:r>
      <w:r w:rsidRPr="00C91718">
        <w:t xml:space="preserve"> a human rights perspective </w:t>
      </w:r>
      <w:r>
        <w:t xml:space="preserve">being </w:t>
      </w:r>
      <w:r w:rsidRPr="00C91718">
        <w:t xml:space="preserve">consistently applied and </w:t>
      </w:r>
      <w:r>
        <w:t xml:space="preserve">sees </w:t>
      </w:r>
      <w:r w:rsidRPr="00C91718">
        <w:t>progress being achieved through polic</w:t>
      </w:r>
      <w:r>
        <w:t>i</w:t>
      </w:r>
      <w:r w:rsidRPr="00C91718">
        <w:t>es and services that are designed to work for all.</w:t>
      </w:r>
    </w:p>
    <w:p w14:paraId="44171C42" w14:textId="77777777" w:rsidR="00DB427A" w:rsidRPr="00C91718" w:rsidRDefault="00DB427A" w:rsidP="00DB427A">
      <w:r w:rsidRPr="00C91718">
        <w:t>Some disabled people face compounded issues and discrimination with intersecting forms of discrimination and disadvantage</w:t>
      </w:r>
      <w:r>
        <w:t>,</w:t>
      </w:r>
      <w:r w:rsidRPr="00C91718">
        <w:t xml:space="preserve"> as other identity factors can also impact their experience. These factors include gender, ethnicity, socioeconomic status, sexual orientation, age, family responsibilities, and where they live. A disabled woman living rurally, for instance, may face three forms of discrimination.</w:t>
      </w:r>
    </w:p>
    <w:p w14:paraId="45A3FB46" w14:textId="77777777" w:rsidR="00DB427A" w:rsidRPr="00C91718" w:rsidRDefault="00DB427A" w:rsidP="00DB427A">
      <w:r w:rsidRPr="00C91718">
        <w:t xml:space="preserve">As our population ages, the proportion of disabled New Zealanders is increasing. Disabled people are living for longer and more people have age-related impairments. </w:t>
      </w:r>
      <w:r>
        <w:t>O</w:t>
      </w:r>
      <w:r w:rsidRPr="00C91718">
        <w:t>f all people aged 65 and over</w:t>
      </w:r>
      <w:r>
        <w:t>, 59 percent</w:t>
      </w:r>
      <w:r w:rsidRPr="00C91718">
        <w:t xml:space="preserve"> are disabled</w:t>
      </w:r>
      <w:r w:rsidRPr="00D01611">
        <w:rPr>
          <w:vertAlign w:val="superscript"/>
        </w:rPr>
        <w:footnoteReference w:id="7"/>
      </w:r>
      <w:r w:rsidRPr="00C91718">
        <w:t xml:space="preserve">. </w:t>
      </w:r>
    </w:p>
    <w:p w14:paraId="3EEB8A77" w14:textId="77777777" w:rsidR="00DB427A" w:rsidRDefault="00DB427A" w:rsidP="00DB427A">
      <w:r w:rsidRPr="00C91718">
        <w:lastRenderedPageBreak/>
        <w:t xml:space="preserve">It is important to note that the impact of acquired impairments for those aged 65 and over can be </w:t>
      </w:r>
      <w:r>
        <w:t xml:space="preserve">less than for others as they have </w:t>
      </w:r>
      <w:r w:rsidRPr="00C91718">
        <w:t>had time and economic resources to make adaptations relating to their impairments</w:t>
      </w:r>
      <w:r w:rsidRPr="00167EB1">
        <w:t xml:space="preserve"> </w:t>
      </w:r>
      <w:r w:rsidRPr="00C91718">
        <w:t>as they g</w:t>
      </w:r>
      <w:r>
        <w:t>o</w:t>
      </w:r>
      <w:r w:rsidRPr="00C91718">
        <w:t>t older</w:t>
      </w:r>
      <w:r>
        <w:t>.</w:t>
      </w:r>
    </w:p>
    <w:p w14:paraId="6D2BCF7E" w14:textId="77777777" w:rsidR="00DB427A" w:rsidRPr="00142E9E" w:rsidRDefault="00DB427A" w:rsidP="00DB427A">
      <w:pPr>
        <w:pStyle w:val="Heading3"/>
        <w:keepNext/>
        <w:keepLines/>
        <w:spacing w:before="240"/>
        <w:rPr>
          <w:rFonts w:eastAsiaTheme="majorEastAsia"/>
          <w:bCs/>
          <w:color w:val="121F6B"/>
          <w:kern w:val="0"/>
          <w:szCs w:val="22"/>
          <w:lang w:val="en-NZ" w:eastAsia="en-AU"/>
        </w:rPr>
      </w:pPr>
      <w:bookmarkStart w:id="39" w:name="_Toc50988065"/>
      <w:bookmarkStart w:id="40" w:name="_Toc53379886"/>
      <w:r w:rsidRPr="00142E9E">
        <w:rPr>
          <w:rFonts w:eastAsiaTheme="majorEastAsia"/>
          <w:bCs/>
          <w:color w:val="121F6B"/>
          <w:kern w:val="0"/>
          <w:szCs w:val="22"/>
          <w:lang w:val="en-NZ" w:eastAsia="en-AU"/>
        </w:rPr>
        <w:t>Disability rates are higher for Māori</w:t>
      </w:r>
      <w:bookmarkEnd w:id="39"/>
      <w:bookmarkEnd w:id="40"/>
      <w:r w:rsidRPr="00142E9E">
        <w:rPr>
          <w:rFonts w:eastAsiaTheme="majorEastAsia"/>
          <w:bCs/>
          <w:color w:val="121F6B"/>
          <w:kern w:val="0"/>
          <w:szCs w:val="22"/>
          <w:lang w:val="en-NZ" w:eastAsia="en-AU"/>
        </w:rPr>
        <w:t xml:space="preserve"> </w:t>
      </w:r>
    </w:p>
    <w:p w14:paraId="44C413ED" w14:textId="77777777" w:rsidR="00DB427A" w:rsidRPr="00C91718" w:rsidRDefault="00DB427A" w:rsidP="00DB427A">
      <w:r w:rsidRPr="00C91718">
        <w:t xml:space="preserve">The 2013 Disability Survey shows that Māori have higher-than-average disability rates and that </w:t>
      </w:r>
      <w:proofErr w:type="spellStart"/>
      <w:r w:rsidRPr="00C91718">
        <w:t>tāngata</w:t>
      </w:r>
      <w:proofErr w:type="spellEnd"/>
      <w:r w:rsidRPr="00C91718">
        <w:t xml:space="preserve"> </w:t>
      </w:r>
      <w:proofErr w:type="spellStart"/>
      <w:r w:rsidRPr="00C91718">
        <w:t>whaikaha</w:t>
      </w:r>
      <w:proofErr w:type="spellEnd"/>
      <w:r w:rsidRPr="00C91718">
        <w:t xml:space="preserve"> (Māori</w:t>
      </w:r>
      <w:r w:rsidRPr="00167EB1">
        <w:t xml:space="preserve"> </w:t>
      </w:r>
      <w:r w:rsidRPr="00C91718">
        <w:t>disabled) have poorer life outcomes compared with other Māori. This is despite the younger age profile for Māori meaning they are less likely to be in the older age groups where disability is more common.</w:t>
      </w:r>
      <w:r>
        <w:t xml:space="preserve"> </w:t>
      </w:r>
      <w:r w:rsidRPr="00C91718">
        <w:t xml:space="preserve">The disability rate among Māori is 26 percent, compared with 24 percent for all New Zealanders. When the younger age profile of the Māori population is considered, </w:t>
      </w:r>
      <w:r>
        <w:t xml:space="preserve">proportionally </w:t>
      </w:r>
      <w:r w:rsidRPr="00C91718">
        <w:t>the Māori disability rate is much higher at 32 percent</w:t>
      </w:r>
      <w:r w:rsidRPr="00D01611">
        <w:rPr>
          <w:vertAlign w:val="superscript"/>
        </w:rPr>
        <w:footnoteReference w:id="8"/>
      </w:r>
      <w:r w:rsidRPr="00C91718">
        <w:t>. Māori children under 15 years have a disability rate of 15 percent, compared to nine percent for non-Māori children.</w:t>
      </w:r>
    </w:p>
    <w:p w14:paraId="313D4E61" w14:textId="77777777" w:rsidR="00DB427A" w:rsidRPr="00C91718" w:rsidRDefault="00DB427A" w:rsidP="00DB427A">
      <w:r w:rsidRPr="00C91718">
        <w:t xml:space="preserve">Higher rates of impairment among Māori contribute to poorer socio-economic </w:t>
      </w:r>
      <w:r>
        <w:t>outcomes</w:t>
      </w:r>
      <w:r w:rsidRPr="00C91718">
        <w:t>. Māori also have higher rates of moderate impairment related to environmental factors such as ill health, poor housing</w:t>
      </w:r>
      <w:r w:rsidRPr="008C5F61">
        <w:t xml:space="preserve"> </w:t>
      </w:r>
      <w:r w:rsidRPr="00C91718">
        <w:t xml:space="preserve">quality, or injury from more risky occupations. Other common factors for </w:t>
      </w:r>
      <w:proofErr w:type="spellStart"/>
      <w:r w:rsidRPr="00C91718">
        <w:t>tāngata</w:t>
      </w:r>
      <w:proofErr w:type="spellEnd"/>
      <w:r w:rsidRPr="00C91718">
        <w:t xml:space="preserve"> </w:t>
      </w:r>
      <w:proofErr w:type="spellStart"/>
      <w:r w:rsidRPr="00C91718">
        <w:t>whaikaha</w:t>
      </w:r>
      <w:proofErr w:type="spellEnd"/>
      <w:r w:rsidRPr="00C91718">
        <w:t xml:space="preserve"> include low income, and discrimination</w:t>
      </w:r>
      <w:r w:rsidRPr="00D01611">
        <w:rPr>
          <w:vertAlign w:val="superscript"/>
        </w:rPr>
        <w:footnoteReference w:id="9"/>
      </w:r>
      <w:r w:rsidRPr="00C91718">
        <w:t xml:space="preserve">. </w:t>
      </w:r>
    </w:p>
    <w:p w14:paraId="17F4AC91" w14:textId="77777777" w:rsidR="00DB427A" w:rsidRPr="00C91718" w:rsidRDefault="00DB427A" w:rsidP="00DB427A">
      <w:r w:rsidRPr="00C91718">
        <w:t xml:space="preserve">This highlights the need for </w:t>
      </w:r>
      <w:r>
        <w:t xml:space="preserve">a </w:t>
      </w:r>
      <w:r w:rsidRPr="00C91718">
        <w:t>greater focus on Māori</w:t>
      </w:r>
      <w:r w:rsidRPr="00BC5960">
        <w:t xml:space="preserve"> </w:t>
      </w:r>
      <w:r w:rsidRPr="00C91718">
        <w:t xml:space="preserve">disabled. As Minister for Disability Issues, you have an opportunity to encourage all agencies to collect rigorous data and to include a focus on </w:t>
      </w:r>
      <w:proofErr w:type="spellStart"/>
      <w:r w:rsidRPr="00C91718">
        <w:t>tāngata</w:t>
      </w:r>
      <w:proofErr w:type="spellEnd"/>
      <w:r w:rsidRPr="00C91718">
        <w:t xml:space="preserve"> </w:t>
      </w:r>
      <w:proofErr w:type="spellStart"/>
      <w:r w:rsidRPr="00C91718">
        <w:t>whaikaha</w:t>
      </w:r>
      <w:proofErr w:type="spellEnd"/>
      <w:r w:rsidRPr="00C91718">
        <w:t xml:space="preserve"> in all initiatives targeting disabled people. </w:t>
      </w:r>
    </w:p>
    <w:p w14:paraId="208CFB8A" w14:textId="77777777" w:rsidR="00DB427A" w:rsidRPr="00142E9E" w:rsidRDefault="00DB427A" w:rsidP="00DB427A">
      <w:pPr>
        <w:pStyle w:val="Heading3"/>
        <w:keepNext/>
        <w:keepLines/>
        <w:spacing w:before="240"/>
        <w:rPr>
          <w:rFonts w:eastAsiaTheme="majorEastAsia"/>
          <w:bCs/>
          <w:color w:val="121F6B"/>
          <w:kern w:val="0"/>
          <w:szCs w:val="22"/>
          <w:lang w:val="en-NZ" w:eastAsia="en-AU"/>
        </w:rPr>
      </w:pPr>
      <w:bookmarkStart w:id="41" w:name="_Toc50988066"/>
      <w:bookmarkStart w:id="42" w:name="_Toc53379887"/>
      <w:r w:rsidRPr="00142E9E">
        <w:rPr>
          <w:rFonts w:eastAsiaTheme="majorEastAsia"/>
          <w:bCs/>
          <w:color w:val="121F6B"/>
          <w:kern w:val="0"/>
          <w:szCs w:val="22"/>
          <w:lang w:val="en-NZ" w:eastAsia="en-AU"/>
        </w:rPr>
        <w:t>Pacific people are also more likely to experience disability</w:t>
      </w:r>
      <w:bookmarkEnd w:id="41"/>
      <w:bookmarkEnd w:id="42"/>
      <w:r w:rsidRPr="00142E9E">
        <w:rPr>
          <w:rFonts w:eastAsiaTheme="majorEastAsia"/>
          <w:bCs/>
          <w:color w:val="121F6B"/>
          <w:kern w:val="0"/>
          <w:szCs w:val="22"/>
          <w:lang w:val="en-NZ" w:eastAsia="en-AU"/>
        </w:rPr>
        <w:t xml:space="preserve"> </w:t>
      </w:r>
    </w:p>
    <w:p w14:paraId="5B9A8DD6" w14:textId="77777777" w:rsidR="00DB427A" w:rsidRDefault="00DB427A" w:rsidP="00DB427A">
      <w:r w:rsidRPr="00C91718">
        <w:t>There is limited information about Pacific people’s experience of disability and few reliable sources of data. The 2013 Disability Survey found a disability rate for Pacific people of 19</w:t>
      </w:r>
      <w:r w:rsidRPr="00167EB1">
        <w:t xml:space="preserve"> </w:t>
      </w:r>
      <w:r w:rsidRPr="00C91718">
        <w:t>percent.</w:t>
      </w:r>
      <w:r>
        <w:t xml:space="preserve"> </w:t>
      </w:r>
      <w:r w:rsidRPr="00C91718">
        <w:t>This figure is unusually low and may indicate underreporting</w:t>
      </w:r>
      <w:r>
        <w:t>.</w:t>
      </w:r>
      <w:r w:rsidRPr="00C91718">
        <w:t xml:space="preserve"> </w:t>
      </w:r>
    </w:p>
    <w:p w14:paraId="53402721" w14:textId="77777777" w:rsidR="00DB427A" w:rsidRPr="00920CBE" w:rsidRDefault="00DB427A" w:rsidP="00DB427A">
      <w:r>
        <w:t>A lower rate of reporting could also reflect</w:t>
      </w:r>
      <w:r w:rsidRPr="00C91718">
        <w:t xml:space="preserve"> differen</w:t>
      </w:r>
      <w:r>
        <w:t>ces in</w:t>
      </w:r>
      <w:r w:rsidRPr="00C91718">
        <w:t xml:space="preserve"> cultural beliefs related to disability. </w:t>
      </w:r>
      <w:r>
        <w:t>For instance, i</w:t>
      </w:r>
      <w:r w:rsidRPr="00C91718">
        <w:t xml:space="preserve">n the disabled people-led 2015 monitoring report, </w:t>
      </w:r>
      <w:r>
        <w:t>“</w:t>
      </w:r>
      <w:r w:rsidRPr="00167EB1">
        <w:t>Disability rights in Aotearoa New Zealand: Acceptance in Society</w:t>
      </w:r>
      <w:r>
        <w:t>”</w:t>
      </w:r>
      <w:r w:rsidRPr="00C91718">
        <w:t>, disabled research participants from cultural minorities spoke about not always feeling accepted by their communities.</w:t>
      </w:r>
      <w:r>
        <w:rPr>
          <w:rFonts w:ascii="Arial" w:hAnsi="Arial"/>
          <w:sz w:val="24"/>
        </w:rPr>
        <w:t xml:space="preserve"> </w:t>
      </w:r>
      <w:r w:rsidRPr="006D6E57">
        <w:t>This suggests they may be less likely to self-identify.</w:t>
      </w:r>
    </w:p>
    <w:bookmarkEnd w:id="37"/>
    <w:p w14:paraId="5F29F567" w14:textId="77777777" w:rsidR="00DB427A" w:rsidRDefault="00DB427A" w:rsidP="00DB427A">
      <w:r>
        <w:rPr>
          <w:b/>
        </w:rPr>
        <w:br w:type="page"/>
      </w:r>
    </w:p>
    <w:p w14:paraId="67B85724" w14:textId="77777777" w:rsidR="00DB427A" w:rsidRPr="00142E9E" w:rsidRDefault="00DB427A" w:rsidP="00DB427A">
      <w:pPr>
        <w:pStyle w:val="Heading2"/>
        <w:framePr w:wrap="notBeside" w:vAnchor="text" w:hAnchor="text" w:y="1"/>
        <w:spacing w:before="240"/>
        <w:rPr>
          <w:color w:val="121F6B"/>
          <w:sz w:val="36"/>
          <w:szCs w:val="20"/>
        </w:rPr>
      </w:pPr>
      <w:bookmarkStart w:id="43" w:name="_Toc50988072"/>
      <w:bookmarkStart w:id="44" w:name="_Toc53379888"/>
      <w:bookmarkStart w:id="45" w:name="_Hlk52440456"/>
      <w:r w:rsidRPr="00942B25">
        <w:rPr>
          <w:color w:val="121F6B"/>
          <w:sz w:val="36"/>
          <w:szCs w:val="20"/>
        </w:rPr>
        <w:lastRenderedPageBreak/>
        <w:t>Matters</w:t>
      </w:r>
      <w:r w:rsidRPr="00142E9E">
        <w:rPr>
          <w:color w:val="121F6B"/>
          <w:sz w:val="36"/>
          <w:szCs w:val="20"/>
        </w:rPr>
        <w:t xml:space="preserve"> that require your early attention</w:t>
      </w:r>
      <w:bookmarkEnd w:id="43"/>
      <w:bookmarkEnd w:id="44"/>
      <w:r w:rsidRPr="00142E9E">
        <w:rPr>
          <w:color w:val="121F6B"/>
          <w:sz w:val="36"/>
          <w:szCs w:val="20"/>
        </w:rPr>
        <w:t xml:space="preserve"> </w:t>
      </w:r>
    </w:p>
    <w:p w14:paraId="25F40168" w14:textId="77777777" w:rsidR="00DB427A" w:rsidRPr="00666313" w:rsidRDefault="00DB427A" w:rsidP="00DB427A">
      <w:pPr>
        <w:pStyle w:val="Heading3"/>
        <w:keepNext/>
        <w:keepLines/>
        <w:spacing w:before="240"/>
        <w:rPr>
          <w:rFonts w:eastAsiaTheme="majorEastAsia"/>
          <w:bCs/>
          <w:color w:val="121F6B"/>
          <w:kern w:val="0"/>
          <w:szCs w:val="22"/>
          <w:lang w:val="en-NZ" w:eastAsia="en-AU"/>
        </w:rPr>
      </w:pPr>
      <w:bookmarkStart w:id="46" w:name="_Toc53379889"/>
      <w:r w:rsidRPr="00666313">
        <w:rPr>
          <w:rFonts w:eastAsiaTheme="majorEastAsia"/>
          <w:bCs/>
          <w:color w:val="121F6B"/>
          <w:kern w:val="0"/>
          <w:szCs w:val="22"/>
          <w:lang w:val="en-NZ" w:eastAsia="en-AU"/>
        </w:rPr>
        <w:t>We would like to discuss these key matters with you:</w:t>
      </w:r>
      <w:bookmarkEnd w:id="46"/>
    </w:p>
    <w:p w14:paraId="1CE6B9E4" w14:textId="77777777" w:rsidR="00DB427A" w:rsidRPr="00942B25" w:rsidRDefault="00DB427A" w:rsidP="00DB427A">
      <w:pPr>
        <w:pStyle w:val="Bullet1"/>
        <w:numPr>
          <w:ilvl w:val="0"/>
          <w:numId w:val="2"/>
        </w:numPr>
        <w:tabs>
          <w:tab w:val="clear" w:pos="360"/>
          <w:tab w:val="clear" w:pos="454"/>
        </w:tabs>
        <w:ind w:left="284" w:hanging="284"/>
        <w:rPr>
          <w:lang w:val="en-NZ"/>
        </w:rPr>
      </w:pPr>
      <w:r>
        <w:rPr>
          <w:lang w:val="en-NZ"/>
        </w:rPr>
        <w:t>Drafting of y</w:t>
      </w:r>
      <w:r w:rsidRPr="00942B25">
        <w:rPr>
          <w:lang w:val="en-NZ"/>
        </w:rPr>
        <w:t>our annual report to Parliament on the disability issues portfolio</w:t>
      </w:r>
      <w:r>
        <w:rPr>
          <w:lang w:val="en-NZ"/>
        </w:rPr>
        <w:t xml:space="preserve">. This </w:t>
      </w:r>
      <w:r w:rsidRPr="00942B25">
        <w:rPr>
          <w:lang w:val="en-NZ"/>
        </w:rPr>
        <w:t>needs to be tabled in Parliament in mid-December 2020</w:t>
      </w:r>
      <w:r w:rsidRPr="00942B25">
        <w:rPr>
          <w:vertAlign w:val="superscript"/>
          <w:lang w:val="en-NZ" w:eastAsia="en-AU"/>
        </w:rPr>
        <w:footnoteReference w:id="10"/>
      </w:r>
      <w:r w:rsidRPr="00942B25">
        <w:rPr>
          <w:lang w:val="en-NZ"/>
        </w:rPr>
        <w:t xml:space="preserve">. </w:t>
      </w:r>
    </w:p>
    <w:p w14:paraId="5A7621C4" w14:textId="7FAE0B59" w:rsidR="00DB427A" w:rsidRPr="00AB1A3B" w:rsidRDefault="00AB1A3B" w:rsidP="00DB427A">
      <w:pPr>
        <w:pStyle w:val="Bullet1"/>
        <w:numPr>
          <w:ilvl w:val="0"/>
          <w:numId w:val="2"/>
        </w:numPr>
        <w:tabs>
          <w:tab w:val="clear" w:pos="360"/>
          <w:tab w:val="clear" w:pos="454"/>
        </w:tabs>
        <w:ind w:left="284" w:hanging="284"/>
        <w:rPr>
          <w:b/>
          <w:bCs/>
          <w:i/>
          <w:iCs/>
          <w:lang w:val="en-NZ"/>
        </w:rPr>
      </w:pPr>
      <w:r w:rsidRPr="00AB1A3B">
        <w:rPr>
          <w:rFonts w:ascii="Arial" w:hAnsi="Arial"/>
          <w:b/>
          <w:bCs/>
          <w:i/>
          <w:iCs/>
          <w:kern w:val="0"/>
          <w:sz w:val="24"/>
          <w:szCs w:val="24"/>
          <w:lang w:val="en-NZ"/>
        </w:rPr>
        <w:t>Section 9(2)(f)(iv) of the Official Information Act</w:t>
      </w:r>
    </w:p>
    <w:p w14:paraId="00FA300D" w14:textId="00D57292" w:rsidR="00DB427A" w:rsidRDefault="00DB427A" w:rsidP="00DB427A">
      <w:pPr>
        <w:pStyle w:val="Bullet1"/>
        <w:numPr>
          <w:ilvl w:val="0"/>
          <w:numId w:val="2"/>
        </w:numPr>
        <w:tabs>
          <w:tab w:val="clear" w:pos="360"/>
          <w:tab w:val="clear" w:pos="454"/>
        </w:tabs>
        <w:ind w:left="284" w:hanging="284"/>
        <w:rPr>
          <w:lang w:val="en-NZ"/>
        </w:rPr>
      </w:pPr>
      <w:r>
        <w:rPr>
          <w:lang w:val="en-NZ"/>
        </w:rPr>
        <w:t xml:space="preserve">Any </w:t>
      </w:r>
      <w:r w:rsidRPr="00D01611">
        <w:rPr>
          <w:lang w:val="en-NZ"/>
        </w:rPr>
        <w:t xml:space="preserve">wider disability-related decisions </w:t>
      </w:r>
      <w:r>
        <w:rPr>
          <w:lang w:val="en-NZ"/>
        </w:rPr>
        <w:t xml:space="preserve">that </w:t>
      </w:r>
      <w:r w:rsidRPr="00D01611">
        <w:rPr>
          <w:lang w:val="en-NZ"/>
        </w:rPr>
        <w:t>Government may consider</w:t>
      </w:r>
      <w:r>
        <w:rPr>
          <w:lang w:val="en-NZ"/>
        </w:rPr>
        <w:t>, and any</w:t>
      </w:r>
      <w:r w:rsidRPr="00942B25">
        <w:rPr>
          <w:lang w:val="en-NZ"/>
        </w:rPr>
        <w:t xml:space="preserve"> opportunities and issues you would like </w:t>
      </w:r>
      <w:r>
        <w:rPr>
          <w:lang w:val="en-NZ"/>
        </w:rPr>
        <w:t xml:space="preserve">ODI </w:t>
      </w:r>
      <w:r w:rsidRPr="00942B25">
        <w:rPr>
          <w:lang w:val="en-NZ"/>
        </w:rPr>
        <w:t xml:space="preserve">to </w:t>
      </w:r>
      <w:r>
        <w:rPr>
          <w:lang w:val="en-NZ"/>
        </w:rPr>
        <w:t>prioritise</w:t>
      </w:r>
      <w:r w:rsidRPr="00942B25">
        <w:rPr>
          <w:lang w:val="en-NZ"/>
        </w:rPr>
        <w:t xml:space="preserve">. </w:t>
      </w:r>
    </w:p>
    <w:p w14:paraId="19122004" w14:textId="077E3DCB" w:rsidR="00DB427A" w:rsidRPr="00AB1A3B" w:rsidRDefault="00AB1A3B" w:rsidP="00AB1A3B">
      <w:pPr>
        <w:pStyle w:val="Bullet1"/>
        <w:numPr>
          <w:ilvl w:val="0"/>
          <w:numId w:val="2"/>
        </w:numPr>
        <w:tabs>
          <w:tab w:val="clear" w:pos="360"/>
          <w:tab w:val="clear" w:pos="454"/>
        </w:tabs>
        <w:ind w:left="284" w:hanging="284"/>
        <w:rPr>
          <w:lang w:val="en-NZ"/>
        </w:rPr>
      </w:pPr>
      <w:r w:rsidRPr="00AB1A3B">
        <w:rPr>
          <w:lang w:val="en-NZ"/>
        </w:rPr>
        <w:t>The Accelerating Accessibility programme has been the responsibility of the previous Minister for Disability Issues. It will be important to confirm that this work programme, which is of potential</w:t>
      </w:r>
      <w:r>
        <w:rPr>
          <w:lang w:val="en-NZ"/>
        </w:rPr>
        <w:t xml:space="preserve"> </w:t>
      </w:r>
      <w:r w:rsidRPr="00AB1A3B">
        <w:rPr>
          <w:lang w:val="en-NZ"/>
        </w:rPr>
        <w:t>significant benefit for disabled people and others, remains in the Disability portfolio</w:t>
      </w:r>
      <w:r w:rsidR="00DB427A" w:rsidRPr="00AB1A3B">
        <w:rPr>
          <w:lang w:val="en-NZ"/>
        </w:rPr>
        <w:t xml:space="preserve">. </w:t>
      </w:r>
    </w:p>
    <w:p w14:paraId="67630342" w14:textId="77777777" w:rsidR="00DB427A" w:rsidRPr="00666313" w:rsidRDefault="00DB427A" w:rsidP="00DB427A">
      <w:pPr>
        <w:pStyle w:val="Heading3"/>
        <w:keepNext/>
        <w:keepLines/>
        <w:spacing w:before="240"/>
        <w:rPr>
          <w:rFonts w:eastAsiaTheme="majorEastAsia"/>
          <w:bCs/>
          <w:color w:val="121F6B"/>
          <w:kern w:val="0"/>
          <w:szCs w:val="22"/>
          <w:lang w:val="en-NZ" w:eastAsia="en-AU"/>
        </w:rPr>
      </w:pPr>
      <w:bookmarkStart w:id="47" w:name="_Toc53379890"/>
      <w:r w:rsidRPr="00666313">
        <w:rPr>
          <w:rFonts w:eastAsiaTheme="majorEastAsia"/>
          <w:bCs/>
          <w:color w:val="121F6B"/>
          <w:kern w:val="0"/>
          <w:szCs w:val="22"/>
          <w:lang w:val="en-NZ" w:eastAsia="en-AU"/>
        </w:rPr>
        <w:t>Other activities you may wish to undertake include:</w:t>
      </w:r>
      <w:bookmarkEnd w:id="47"/>
    </w:p>
    <w:p w14:paraId="5C80DD18" w14:textId="77777777" w:rsidR="00DB427A" w:rsidRPr="00D01611" w:rsidRDefault="00DB427A" w:rsidP="00DB427A">
      <w:pPr>
        <w:pStyle w:val="Bullet1"/>
        <w:numPr>
          <w:ilvl w:val="0"/>
          <w:numId w:val="2"/>
        </w:numPr>
        <w:tabs>
          <w:tab w:val="clear" w:pos="360"/>
          <w:tab w:val="clear" w:pos="454"/>
        </w:tabs>
        <w:ind w:left="284" w:hanging="284"/>
        <w:rPr>
          <w:lang w:val="en-NZ"/>
        </w:rPr>
      </w:pPr>
      <w:r>
        <w:rPr>
          <w:lang w:val="en-NZ"/>
        </w:rPr>
        <w:t>e</w:t>
      </w:r>
      <w:r w:rsidRPr="00D01611">
        <w:rPr>
          <w:lang w:val="en-NZ"/>
        </w:rPr>
        <w:t xml:space="preserve">ngaging with key </w:t>
      </w:r>
      <w:r w:rsidRPr="00942B25">
        <w:rPr>
          <w:lang w:val="en-NZ"/>
        </w:rPr>
        <w:t>stakeholders to establish or strengthen relationships, or to drive work programme priorities (</w:t>
      </w:r>
      <w:r w:rsidRPr="00D01611">
        <w:rPr>
          <w:lang w:val="en-NZ"/>
        </w:rPr>
        <w:t xml:space="preserve">we can </w:t>
      </w:r>
      <w:r>
        <w:rPr>
          <w:lang w:val="en-NZ"/>
        </w:rPr>
        <w:t>provide you with advice</w:t>
      </w:r>
      <w:r w:rsidRPr="00D01611">
        <w:rPr>
          <w:lang w:val="en-NZ"/>
        </w:rPr>
        <w:t xml:space="preserve"> on this) </w:t>
      </w:r>
    </w:p>
    <w:p w14:paraId="736296B6" w14:textId="77777777" w:rsidR="00AB1A3B" w:rsidRPr="00AB1A3B" w:rsidRDefault="00AB1A3B" w:rsidP="00AB1A3B">
      <w:pPr>
        <w:pStyle w:val="Bullet1"/>
        <w:numPr>
          <w:ilvl w:val="0"/>
          <w:numId w:val="2"/>
        </w:numPr>
        <w:tabs>
          <w:tab w:val="clear" w:pos="360"/>
          <w:tab w:val="clear" w:pos="454"/>
        </w:tabs>
        <w:ind w:left="284" w:hanging="284"/>
        <w:rPr>
          <w:b/>
          <w:bCs/>
          <w:i/>
          <w:iCs/>
          <w:lang w:val="en-NZ"/>
        </w:rPr>
      </w:pPr>
      <w:r w:rsidRPr="00AB1A3B">
        <w:rPr>
          <w:rFonts w:ascii="Arial" w:hAnsi="Arial"/>
          <w:b/>
          <w:bCs/>
          <w:i/>
          <w:iCs/>
          <w:kern w:val="0"/>
          <w:sz w:val="24"/>
          <w:szCs w:val="24"/>
          <w:lang w:val="en-NZ"/>
        </w:rPr>
        <w:t>Section 9(2)(f)(iv) of the Official Information Act</w:t>
      </w:r>
    </w:p>
    <w:p w14:paraId="0A6C36F5" w14:textId="77777777" w:rsidR="00DB427A" w:rsidRPr="00D01611" w:rsidRDefault="00DB427A" w:rsidP="00DB427A">
      <w:pPr>
        <w:pStyle w:val="Bullet1"/>
        <w:numPr>
          <w:ilvl w:val="0"/>
          <w:numId w:val="2"/>
        </w:numPr>
        <w:tabs>
          <w:tab w:val="clear" w:pos="360"/>
          <w:tab w:val="clear" w:pos="454"/>
        </w:tabs>
        <w:ind w:left="284" w:right="-330" w:hanging="284"/>
        <w:rPr>
          <w:lang w:val="en-NZ"/>
        </w:rPr>
      </w:pPr>
      <w:r>
        <w:rPr>
          <w:lang w:val="en-NZ"/>
        </w:rPr>
        <w:t>c</w:t>
      </w:r>
      <w:r w:rsidRPr="00D01611">
        <w:rPr>
          <w:lang w:val="en-NZ"/>
        </w:rPr>
        <w:t>onvening the Ministerial Leadership Group on Disability Issues meeting on 9 December 2020, bringing together key Ministers to meet with the IMM.</w:t>
      </w:r>
      <w:r w:rsidRPr="00104111">
        <w:rPr>
          <w:lang w:val="en-NZ"/>
        </w:rPr>
        <w:t xml:space="preserve"> </w:t>
      </w:r>
      <w:r w:rsidRPr="00D01611">
        <w:rPr>
          <w:lang w:val="en-NZ"/>
        </w:rPr>
        <w:t xml:space="preserve">You may </w:t>
      </w:r>
      <w:r>
        <w:rPr>
          <w:lang w:val="en-NZ"/>
        </w:rPr>
        <w:t>also consider</w:t>
      </w:r>
      <w:r w:rsidRPr="00D01611">
        <w:rPr>
          <w:lang w:val="en-NZ"/>
        </w:rPr>
        <w:t xml:space="preserve"> a process for government officials to meet the </w:t>
      </w:r>
      <w:r>
        <w:rPr>
          <w:lang w:val="en-NZ"/>
        </w:rPr>
        <w:t>IMM</w:t>
      </w:r>
      <w:r w:rsidRPr="00D01611">
        <w:rPr>
          <w:lang w:val="en-NZ"/>
        </w:rPr>
        <w:t xml:space="preserve"> in early 2021</w:t>
      </w:r>
    </w:p>
    <w:p w14:paraId="283CC5D2" w14:textId="77777777" w:rsidR="00AB1A3B" w:rsidRPr="00AB1A3B" w:rsidRDefault="00AB1A3B" w:rsidP="00AB1A3B">
      <w:pPr>
        <w:pStyle w:val="Bullet1"/>
        <w:numPr>
          <w:ilvl w:val="0"/>
          <w:numId w:val="2"/>
        </w:numPr>
        <w:tabs>
          <w:tab w:val="clear" w:pos="360"/>
          <w:tab w:val="clear" w:pos="454"/>
        </w:tabs>
        <w:ind w:left="284" w:hanging="284"/>
        <w:rPr>
          <w:b/>
          <w:bCs/>
          <w:i/>
          <w:iCs/>
          <w:lang w:val="en-NZ"/>
        </w:rPr>
      </w:pPr>
      <w:r w:rsidRPr="00AB1A3B">
        <w:rPr>
          <w:rFonts w:ascii="Arial" w:hAnsi="Arial"/>
          <w:b/>
          <w:bCs/>
          <w:i/>
          <w:iCs/>
          <w:kern w:val="0"/>
          <w:sz w:val="24"/>
          <w:szCs w:val="24"/>
          <w:lang w:val="en-NZ"/>
        </w:rPr>
        <w:t>Section 9(2)(f)(iv) of the Official Information Act</w:t>
      </w:r>
    </w:p>
    <w:p w14:paraId="3E7DCCF3" w14:textId="77777777" w:rsidR="00AB1A3B" w:rsidRPr="00AB1A3B" w:rsidRDefault="00AB1A3B" w:rsidP="00AB1A3B">
      <w:pPr>
        <w:pStyle w:val="Bullet1"/>
        <w:numPr>
          <w:ilvl w:val="0"/>
          <w:numId w:val="2"/>
        </w:numPr>
        <w:tabs>
          <w:tab w:val="clear" w:pos="360"/>
          <w:tab w:val="clear" w:pos="454"/>
        </w:tabs>
        <w:ind w:left="284" w:hanging="284"/>
        <w:rPr>
          <w:b/>
          <w:bCs/>
          <w:i/>
          <w:iCs/>
          <w:lang w:val="en-NZ"/>
        </w:rPr>
      </w:pPr>
      <w:r w:rsidRPr="00AB1A3B">
        <w:rPr>
          <w:rFonts w:ascii="Arial" w:hAnsi="Arial"/>
          <w:b/>
          <w:bCs/>
          <w:i/>
          <w:iCs/>
          <w:kern w:val="0"/>
          <w:sz w:val="24"/>
          <w:szCs w:val="24"/>
          <w:lang w:val="en-NZ"/>
        </w:rPr>
        <w:t>Section 9(2)(f)(iv) of the Official Information Act</w:t>
      </w:r>
    </w:p>
    <w:p w14:paraId="10CBEC0C" w14:textId="77777777" w:rsidR="00DB427A" w:rsidRPr="00942B25" w:rsidRDefault="00DB427A" w:rsidP="00DB427A">
      <w:pPr>
        <w:pStyle w:val="Bullet1"/>
        <w:numPr>
          <w:ilvl w:val="0"/>
          <w:numId w:val="2"/>
        </w:numPr>
        <w:tabs>
          <w:tab w:val="clear" w:pos="360"/>
          <w:tab w:val="clear" w:pos="454"/>
        </w:tabs>
        <w:ind w:left="284" w:hanging="284"/>
        <w:rPr>
          <w:lang w:val="en-NZ"/>
        </w:rPr>
      </w:pPr>
      <w:r w:rsidRPr="00942B25">
        <w:rPr>
          <w:lang w:val="en-NZ"/>
        </w:rPr>
        <w:t>participating in the election of members to the United Nations Committee on the Rights of Persons with Disabilities in New York City in December 2020</w:t>
      </w:r>
      <w:r w:rsidRPr="00942B25">
        <w:rPr>
          <w:vertAlign w:val="superscript"/>
          <w:lang w:val="en-NZ" w:eastAsia="en-AU"/>
        </w:rPr>
        <w:footnoteReference w:id="11"/>
      </w:r>
      <w:r>
        <w:rPr>
          <w:lang w:val="en-NZ"/>
        </w:rPr>
        <w:t>;</w:t>
      </w:r>
      <w:r w:rsidRPr="00942B25">
        <w:rPr>
          <w:lang w:val="en-NZ"/>
        </w:rPr>
        <w:t xml:space="preserve"> deferred </w:t>
      </w:r>
      <w:r>
        <w:rPr>
          <w:lang w:val="en-NZ"/>
        </w:rPr>
        <w:t>from</w:t>
      </w:r>
      <w:r w:rsidRPr="00942B25">
        <w:rPr>
          <w:lang w:val="en-NZ"/>
        </w:rPr>
        <w:t xml:space="preserve"> June 2021 </w:t>
      </w:r>
      <w:r>
        <w:rPr>
          <w:lang w:val="en-NZ"/>
        </w:rPr>
        <w:t>due to</w:t>
      </w:r>
      <w:r w:rsidRPr="00942B25">
        <w:rPr>
          <w:lang w:val="en-NZ"/>
        </w:rPr>
        <w:t xml:space="preserve"> COVID 19. </w:t>
      </w:r>
      <w:r>
        <w:rPr>
          <w:lang w:val="en-NZ"/>
        </w:rPr>
        <w:t>T</w:t>
      </w:r>
      <w:r w:rsidRPr="00942B25">
        <w:rPr>
          <w:lang w:val="en-NZ"/>
        </w:rPr>
        <w:t xml:space="preserve">he elections </w:t>
      </w:r>
      <w:r>
        <w:rPr>
          <w:lang w:val="en-NZ"/>
        </w:rPr>
        <w:t>may</w:t>
      </w:r>
      <w:r w:rsidRPr="00942B25">
        <w:rPr>
          <w:lang w:val="en-NZ"/>
        </w:rPr>
        <w:t xml:space="preserve"> </w:t>
      </w:r>
      <w:r>
        <w:rPr>
          <w:lang w:val="en-NZ"/>
        </w:rPr>
        <w:t>occur</w:t>
      </w:r>
      <w:r w:rsidRPr="00942B25">
        <w:rPr>
          <w:lang w:val="en-NZ"/>
        </w:rPr>
        <w:t xml:space="preserve"> virtually rather than in person</w:t>
      </w:r>
      <w:r>
        <w:rPr>
          <w:lang w:val="en-NZ"/>
        </w:rPr>
        <w:t xml:space="preserve">, or </w:t>
      </w:r>
      <w:r w:rsidRPr="00942B25">
        <w:rPr>
          <w:lang w:val="en-NZ"/>
        </w:rPr>
        <w:t>the current membership</w:t>
      </w:r>
      <w:r>
        <w:rPr>
          <w:lang w:val="en-NZ"/>
        </w:rPr>
        <w:t xml:space="preserve"> may be extended</w:t>
      </w:r>
      <w:r w:rsidRPr="00942B25">
        <w:rPr>
          <w:lang w:val="en-NZ"/>
        </w:rPr>
        <w:t xml:space="preserve"> into 2021.</w:t>
      </w:r>
    </w:p>
    <w:p w14:paraId="7A2B5023" w14:textId="77777777" w:rsidR="00DB427A" w:rsidRPr="00666313" w:rsidRDefault="00DB427A" w:rsidP="00DB427A">
      <w:pPr>
        <w:pStyle w:val="Heading3"/>
        <w:keepNext/>
        <w:keepLines/>
        <w:spacing w:before="240"/>
        <w:rPr>
          <w:rFonts w:eastAsiaTheme="majorEastAsia"/>
          <w:bCs/>
          <w:color w:val="121F6B"/>
          <w:kern w:val="0"/>
          <w:szCs w:val="22"/>
          <w:lang w:val="en-NZ" w:eastAsia="en-AU"/>
        </w:rPr>
      </w:pPr>
      <w:bookmarkStart w:id="48" w:name="_Toc53379891"/>
      <w:r w:rsidRPr="00566142">
        <w:rPr>
          <w:rFonts w:eastAsiaTheme="majorEastAsia"/>
          <w:bCs/>
          <w:color w:val="121F6B"/>
          <w:kern w:val="0"/>
          <w:szCs w:val="22"/>
          <w:lang w:val="en-NZ" w:eastAsia="en-AU"/>
        </w:rPr>
        <w:t>The impact of growing demand for ODI advice</w:t>
      </w:r>
      <w:bookmarkEnd w:id="48"/>
    </w:p>
    <w:p w14:paraId="6AAE4F5D" w14:textId="77777777" w:rsidR="00DB427A" w:rsidRPr="00D01611" w:rsidRDefault="00DB427A" w:rsidP="00DB427A">
      <w:r w:rsidRPr="00794B30">
        <w:t xml:space="preserve">The ODI team has experienced </w:t>
      </w:r>
      <w:r>
        <w:t>a</w:t>
      </w:r>
      <w:r w:rsidRPr="00A76504">
        <w:t xml:space="preserve"> </w:t>
      </w:r>
      <w:r>
        <w:t>significant</w:t>
      </w:r>
      <w:r w:rsidRPr="00794B30">
        <w:t xml:space="preserve"> increase</w:t>
      </w:r>
      <w:r>
        <w:t xml:space="preserve"> in</w:t>
      </w:r>
      <w:r w:rsidRPr="00794B30">
        <w:t xml:space="preserve"> demand for expertise </w:t>
      </w:r>
      <w:r>
        <w:t>and</w:t>
      </w:r>
      <w:r w:rsidRPr="00794B30">
        <w:t xml:space="preserve"> advice</w:t>
      </w:r>
      <w:r w:rsidRPr="00A76504">
        <w:t xml:space="preserve"> </w:t>
      </w:r>
      <w:r w:rsidRPr="00794B30">
        <w:t>across government on disability matters</w:t>
      </w:r>
      <w:r>
        <w:t>, and</w:t>
      </w:r>
      <w:r w:rsidRPr="00A76504">
        <w:t xml:space="preserve"> </w:t>
      </w:r>
      <w:r w:rsidRPr="00794B30">
        <w:t xml:space="preserve">we must carefully </w:t>
      </w:r>
      <w:proofErr w:type="spellStart"/>
      <w:r>
        <w:t>prioritise</w:t>
      </w:r>
      <w:proofErr w:type="spellEnd"/>
      <w:r w:rsidRPr="00794B30">
        <w:t xml:space="preserve"> our</w:t>
      </w:r>
      <w:r>
        <w:t xml:space="preserve"> project</w:t>
      </w:r>
      <w:r w:rsidRPr="00794B30">
        <w:t xml:space="preserve"> commitment</w:t>
      </w:r>
      <w:r>
        <w:t>s</w:t>
      </w:r>
      <w:r w:rsidRPr="00794B30">
        <w:t xml:space="preserve"> and </w:t>
      </w:r>
      <w:r>
        <w:t>contributions,</w:t>
      </w:r>
      <w:r w:rsidRPr="00A76504">
        <w:t xml:space="preserve"> </w:t>
      </w:r>
      <w:r w:rsidRPr="00794B30">
        <w:t>beyond providing advice</w:t>
      </w:r>
      <w:r>
        <w:t xml:space="preserve">, </w:t>
      </w:r>
      <w:r w:rsidRPr="00794B30">
        <w:t>across the public sector</w:t>
      </w:r>
      <w:r>
        <w:t>.</w:t>
      </w:r>
      <w:r w:rsidRPr="00794B30">
        <w:t xml:space="preserve"> </w:t>
      </w:r>
      <w:r>
        <w:t xml:space="preserve">The </w:t>
      </w:r>
      <w:r w:rsidRPr="00794B30">
        <w:t xml:space="preserve">Department of the Prime Minister and Cabinet </w:t>
      </w:r>
      <w:r>
        <w:t xml:space="preserve">also now </w:t>
      </w:r>
      <w:r w:rsidRPr="00794B30">
        <w:t>requir</w:t>
      </w:r>
      <w:r>
        <w:t>es</w:t>
      </w:r>
      <w:r w:rsidRPr="00794B30">
        <w:t xml:space="preserve"> all policy cabinet papers to consider disability issues. </w:t>
      </w:r>
    </w:p>
    <w:p w14:paraId="3C279E58" w14:textId="77777777" w:rsidR="00DB427A" w:rsidRPr="00666313" w:rsidRDefault="00DB427A" w:rsidP="00DB427A">
      <w:pPr>
        <w:pStyle w:val="Heading3"/>
        <w:keepNext/>
        <w:keepLines/>
        <w:spacing w:before="240"/>
        <w:rPr>
          <w:rFonts w:eastAsiaTheme="majorEastAsia"/>
          <w:bCs/>
          <w:color w:val="121F6B"/>
          <w:kern w:val="0"/>
          <w:szCs w:val="22"/>
          <w:lang w:val="en-NZ" w:eastAsia="en-AU"/>
        </w:rPr>
      </w:pPr>
      <w:bookmarkStart w:id="49" w:name="_Toc53379892"/>
      <w:r w:rsidRPr="00666313">
        <w:rPr>
          <w:rFonts w:eastAsiaTheme="majorEastAsia"/>
          <w:bCs/>
          <w:color w:val="121F6B"/>
          <w:kern w:val="0"/>
          <w:szCs w:val="22"/>
          <w:lang w:val="en-NZ" w:eastAsia="en-AU"/>
        </w:rPr>
        <w:lastRenderedPageBreak/>
        <w:t>Shifting the paradigm/settings</w:t>
      </w:r>
      <w:bookmarkEnd w:id="49"/>
    </w:p>
    <w:p w14:paraId="56F25D99" w14:textId="77777777" w:rsidR="00DB427A" w:rsidRDefault="00DB427A" w:rsidP="00DB427A">
      <w:pPr>
        <w:pStyle w:val="Bullet1"/>
        <w:numPr>
          <w:ilvl w:val="0"/>
          <w:numId w:val="0"/>
        </w:numPr>
        <w:tabs>
          <w:tab w:val="clear" w:pos="454"/>
        </w:tabs>
        <w:rPr>
          <w:lang w:val="en-NZ"/>
        </w:rPr>
      </w:pPr>
      <w:r w:rsidRPr="00403088">
        <w:rPr>
          <w:lang w:val="en-NZ"/>
        </w:rPr>
        <w:t>There is an expectation that disabled people should increasingly lead and provide stewardship for disability services.</w:t>
      </w:r>
      <w:r>
        <w:rPr>
          <w:lang w:val="en-NZ"/>
        </w:rPr>
        <w:t xml:space="preserve"> </w:t>
      </w:r>
      <w:r w:rsidRPr="00403088">
        <w:rPr>
          <w:lang w:val="en-NZ"/>
        </w:rPr>
        <w:t xml:space="preserve">They </w:t>
      </w:r>
      <w:r>
        <w:rPr>
          <w:lang w:val="en-NZ"/>
        </w:rPr>
        <w:t>seek</w:t>
      </w:r>
      <w:r w:rsidRPr="00403088">
        <w:rPr>
          <w:lang w:val="en-NZ"/>
        </w:rPr>
        <w:t xml:space="preserve"> choice and control by disabled people</w:t>
      </w:r>
      <w:r>
        <w:rPr>
          <w:lang w:val="en-NZ"/>
        </w:rPr>
        <w:t xml:space="preserve"> for disabled people</w:t>
      </w:r>
      <w:r w:rsidRPr="00403088">
        <w:rPr>
          <w:lang w:val="en-NZ"/>
        </w:rPr>
        <w:t xml:space="preserve"> </w:t>
      </w:r>
      <w:r>
        <w:rPr>
          <w:lang w:val="en-NZ"/>
        </w:rPr>
        <w:t>to</w:t>
      </w:r>
      <w:r w:rsidRPr="00403088">
        <w:rPr>
          <w:lang w:val="en-NZ"/>
        </w:rPr>
        <w:t xml:space="preserve"> inform the direction of travel for disability</w:t>
      </w:r>
      <w:r>
        <w:rPr>
          <w:lang w:val="en-NZ"/>
        </w:rPr>
        <w:t xml:space="preserve"> policy and</w:t>
      </w:r>
      <w:r w:rsidRPr="00403088">
        <w:rPr>
          <w:lang w:val="en-NZ"/>
        </w:rPr>
        <w:t xml:space="preserve"> services.</w:t>
      </w:r>
    </w:p>
    <w:bookmarkEnd w:id="45"/>
    <w:p w14:paraId="6054A5F8" w14:textId="77777777" w:rsidR="00DB427A" w:rsidRPr="000C136B" w:rsidRDefault="00DB427A" w:rsidP="00DB427A">
      <w:pPr>
        <w:pStyle w:val="Bullet1"/>
        <w:numPr>
          <w:ilvl w:val="0"/>
          <w:numId w:val="0"/>
        </w:numPr>
        <w:tabs>
          <w:tab w:val="clear" w:pos="454"/>
        </w:tabs>
        <w:ind w:left="284" w:right="-46"/>
        <w:rPr>
          <w:lang w:val="en-NZ"/>
        </w:rPr>
      </w:pPr>
      <w:r>
        <w:br w:type="page"/>
      </w:r>
    </w:p>
    <w:p w14:paraId="2A70015F" w14:textId="77777777" w:rsidR="00DB427A" w:rsidRPr="00B15151" w:rsidRDefault="00DB427A" w:rsidP="00DB427A">
      <w:pPr>
        <w:pStyle w:val="Heading2"/>
        <w:framePr w:wrap="notBeside" w:vAnchor="text" w:hAnchor="text" w:y="1"/>
        <w:spacing w:before="240"/>
        <w:ind w:right="-328"/>
        <w:rPr>
          <w:color w:val="121F6B"/>
          <w:sz w:val="36"/>
          <w:szCs w:val="20"/>
        </w:rPr>
      </w:pPr>
      <w:bookmarkStart w:id="50" w:name="_Toc53379893"/>
      <w:bookmarkStart w:id="51" w:name="_Toc50988075"/>
      <w:bookmarkStart w:id="52" w:name="_Hlk50099352"/>
      <w:r w:rsidRPr="00B15151">
        <w:rPr>
          <w:color w:val="121F6B"/>
          <w:sz w:val="36"/>
          <w:szCs w:val="20"/>
        </w:rPr>
        <w:lastRenderedPageBreak/>
        <w:t>Appendix 1 –</w:t>
      </w:r>
      <w:r>
        <w:rPr>
          <w:color w:val="121F6B"/>
          <w:sz w:val="36"/>
          <w:szCs w:val="20"/>
        </w:rPr>
        <w:t xml:space="preserve"> </w:t>
      </w:r>
      <w:r w:rsidRPr="00B15151">
        <w:rPr>
          <w:color w:val="121F6B"/>
          <w:sz w:val="36"/>
          <w:szCs w:val="20"/>
        </w:rPr>
        <w:t xml:space="preserve">ODI’s </w:t>
      </w:r>
      <w:r>
        <w:rPr>
          <w:color w:val="121F6B"/>
          <w:sz w:val="36"/>
          <w:szCs w:val="20"/>
        </w:rPr>
        <w:t>current work programme</w:t>
      </w:r>
      <w:bookmarkEnd w:id="50"/>
      <w:r w:rsidRPr="00B15151">
        <w:rPr>
          <w:color w:val="121F6B"/>
          <w:sz w:val="36"/>
          <w:szCs w:val="20"/>
        </w:rPr>
        <w:t xml:space="preserve"> </w:t>
      </w:r>
      <w:bookmarkEnd w:id="51"/>
    </w:p>
    <w:p w14:paraId="25F17108" w14:textId="77777777" w:rsidR="00DB427A" w:rsidRPr="00B15151" w:rsidRDefault="00DB427A" w:rsidP="00DB427A">
      <w:pPr>
        <w:pStyle w:val="Bullet1"/>
        <w:numPr>
          <w:ilvl w:val="0"/>
          <w:numId w:val="0"/>
        </w:numPr>
        <w:tabs>
          <w:tab w:val="clear" w:pos="454"/>
        </w:tabs>
      </w:pPr>
      <w:bookmarkStart w:id="53" w:name="_Toc50988076"/>
      <w:r w:rsidRPr="00B15151">
        <w:t xml:space="preserve">You have ministerial direction over the ODI work programme. We look forward to discussing the current core priorities and focus areas with you. </w:t>
      </w:r>
    </w:p>
    <w:p w14:paraId="3A89F960" w14:textId="77777777" w:rsidR="00DB427A" w:rsidRPr="00B15151" w:rsidRDefault="00DB427A" w:rsidP="00DB427A">
      <w:pPr>
        <w:pStyle w:val="Bodyintrotext"/>
        <w:spacing w:after="0"/>
      </w:pPr>
      <w:r w:rsidRPr="00B15151">
        <w:t>Servicing the Minister for Disability Issues and government</w:t>
      </w:r>
      <w:bookmarkEnd w:id="53"/>
    </w:p>
    <w:p w14:paraId="5A30BDED" w14:textId="77777777" w:rsidR="00DB427A" w:rsidRPr="00B15151" w:rsidRDefault="00DB427A" w:rsidP="00DB427A">
      <w:pPr>
        <w:pStyle w:val="Bullet1"/>
        <w:numPr>
          <w:ilvl w:val="0"/>
          <w:numId w:val="2"/>
        </w:numPr>
        <w:tabs>
          <w:tab w:val="clear" w:pos="360"/>
          <w:tab w:val="clear" w:pos="454"/>
        </w:tabs>
        <w:ind w:left="284" w:hanging="284"/>
      </w:pPr>
      <w:r w:rsidRPr="00B15151">
        <w:t xml:space="preserve">Leading cross-government reporting on the UNCRPD and supporting Sir Robert Martin’s re-election to the UNCRPD Committee. </w:t>
      </w:r>
    </w:p>
    <w:p w14:paraId="1AF31613" w14:textId="77777777" w:rsidR="00DB427A" w:rsidRPr="00B15151" w:rsidRDefault="00DB427A" w:rsidP="00DB427A">
      <w:pPr>
        <w:pStyle w:val="Bullet1"/>
        <w:numPr>
          <w:ilvl w:val="0"/>
          <w:numId w:val="2"/>
        </w:numPr>
        <w:tabs>
          <w:tab w:val="clear" w:pos="360"/>
          <w:tab w:val="clear" w:pos="454"/>
        </w:tabs>
        <w:ind w:left="284" w:hanging="284"/>
      </w:pPr>
      <w:r w:rsidRPr="00B15151">
        <w:t>Overseeing implementation and reporting on the New Zealand Disability Strategy through the Disability Action Plan.</w:t>
      </w:r>
    </w:p>
    <w:p w14:paraId="7AA29CBB" w14:textId="77777777" w:rsidR="00DB427A" w:rsidRPr="00B15151" w:rsidRDefault="00DB427A" w:rsidP="00DB427A">
      <w:pPr>
        <w:pStyle w:val="Bodyintrotext"/>
        <w:spacing w:after="0"/>
      </w:pPr>
      <w:bookmarkStart w:id="54" w:name="_Toc50988077"/>
      <w:r w:rsidRPr="00B15151">
        <w:t>Supporting cross-government progress on disability issues</w:t>
      </w:r>
      <w:bookmarkEnd w:id="54"/>
    </w:p>
    <w:p w14:paraId="4B63BD3A" w14:textId="77777777" w:rsidR="00DB427A" w:rsidRPr="00B15151" w:rsidRDefault="00DB427A" w:rsidP="00DB427A">
      <w:pPr>
        <w:pStyle w:val="Bullet1"/>
        <w:numPr>
          <w:ilvl w:val="0"/>
          <w:numId w:val="2"/>
        </w:numPr>
        <w:tabs>
          <w:tab w:val="clear" w:pos="360"/>
          <w:tab w:val="clear" w:pos="454"/>
        </w:tabs>
        <w:ind w:left="284" w:hanging="284"/>
      </w:pPr>
      <w:r w:rsidRPr="00B15151">
        <w:t>Amplifying the voice of disabled people within government through the sharing of data, the promotion of effective engagement, and the provision of feedback, particularly on work programme progress and Cabinet papers.</w:t>
      </w:r>
    </w:p>
    <w:p w14:paraId="4C5F2752" w14:textId="77777777" w:rsidR="00DB427A" w:rsidRPr="00B15151" w:rsidRDefault="00DB427A" w:rsidP="00DB427A">
      <w:pPr>
        <w:pStyle w:val="Bullet1"/>
        <w:numPr>
          <w:ilvl w:val="0"/>
          <w:numId w:val="2"/>
        </w:numPr>
        <w:tabs>
          <w:tab w:val="clear" w:pos="360"/>
          <w:tab w:val="clear" w:pos="454"/>
        </w:tabs>
        <w:ind w:left="284" w:hanging="284"/>
      </w:pPr>
      <w:r w:rsidRPr="00B15151">
        <w:t>Providing secretariat support for the Ministerial Leadership Group on Disability Issues, Chief Executives Group on Disability Issues, Disability Data and Evidence Working Group, NZSL Board and other groups.</w:t>
      </w:r>
    </w:p>
    <w:p w14:paraId="7974590A" w14:textId="77777777" w:rsidR="00DB427A" w:rsidRPr="00B15151" w:rsidRDefault="00DB427A" w:rsidP="00DB427A">
      <w:pPr>
        <w:pStyle w:val="Bullet1"/>
        <w:numPr>
          <w:ilvl w:val="0"/>
          <w:numId w:val="2"/>
        </w:numPr>
        <w:tabs>
          <w:tab w:val="clear" w:pos="360"/>
          <w:tab w:val="clear" w:pos="454"/>
        </w:tabs>
        <w:ind w:left="284" w:hanging="284"/>
      </w:pPr>
      <w:r w:rsidRPr="00B15151">
        <w:t>Providing advice to our Chief Executive, and secretariat support to the Chief Executives Group on Disability Issues.</w:t>
      </w:r>
    </w:p>
    <w:p w14:paraId="7F88D62E" w14:textId="77777777" w:rsidR="00DB427A" w:rsidRPr="00B15151" w:rsidRDefault="00DB427A" w:rsidP="00DB427A">
      <w:pPr>
        <w:pStyle w:val="Bullet1"/>
        <w:numPr>
          <w:ilvl w:val="0"/>
          <w:numId w:val="2"/>
        </w:numPr>
        <w:tabs>
          <w:tab w:val="clear" w:pos="360"/>
          <w:tab w:val="clear" w:pos="454"/>
        </w:tabs>
        <w:ind w:left="284" w:hanging="284"/>
      </w:pPr>
      <w:r w:rsidRPr="00B15151">
        <w:t xml:space="preserve">Responding to requests from agencies on policy work and participating in advisory groups, including the Caring for Communities programme within the COVID-19 All-of-Government Response Group. </w:t>
      </w:r>
    </w:p>
    <w:p w14:paraId="3F8DA529" w14:textId="77777777" w:rsidR="00DB427A" w:rsidRPr="00B15151" w:rsidRDefault="00DB427A" w:rsidP="00DB427A">
      <w:pPr>
        <w:pStyle w:val="Bullet1"/>
        <w:numPr>
          <w:ilvl w:val="0"/>
          <w:numId w:val="2"/>
        </w:numPr>
        <w:tabs>
          <w:tab w:val="clear" w:pos="360"/>
          <w:tab w:val="clear" w:pos="454"/>
        </w:tabs>
        <w:ind w:left="284" w:hanging="284"/>
      </w:pPr>
      <w:r w:rsidRPr="00B15151">
        <w:t xml:space="preserve">Supporting local authorities to accelerate progress on their accessibility policies and work </w:t>
      </w:r>
      <w:proofErr w:type="spellStart"/>
      <w:r w:rsidRPr="00B15151">
        <w:t>programmes</w:t>
      </w:r>
      <w:proofErr w:type="spellEnd"/>
      <w:r w:rsidRPr="00B15151">
        <w:t>.</w:t>
      </w:r>
    </w:p>
    <w:p w14:paraId="3805F8E0" w14:textId="77777777" w:rsidR="00DB427A" w:rsidRPr="00B15151" w:rsidRDefault="00DB427A" w:rsidP="00DB427A">
      <w:pPr>
        <w:pStyle w:val="Bullet1"/>
        <w:numPr>
          <w:ilvl w:val="0"/>
          <w:numId w:val="2"/>
        </w:numPr>
        <w:tabs>
          <w:tab w:val="clear" w:pos="360"/>
          <w:tab w:val="clear" w:pos="454"/>
        </w:tabs>
        <w:ind w:left="284" w:hanging="284"/>
      </w:pPr>
      <w:r w:rsidRPr="00B15151">
        <w:t>Maintaining a disability nominations database connecting disabled candidates to state-sector governance boards.</w:t>
      </w:r>
    </w:p>
    <w:p w14:paraId="58298131" w14:textId="77777777" w:rsidR="00DB427A" w:rsidRPr="00B15151" w:rsidRDefault="00DB427A" w:rsidP="00DB427A">
      <w:pPr>
        <w:pStyle w:val="Bodyintrotext"/>
        <w:spacing w:after="0"/>
      </w:pPr>
      <w:bookmarkStart w:id="55" w:name="_Toc50988078"/>
      <w:r w:rsidRPr="00B15151">
        <w:t>Providing sector leadership</w:t>
      </w:r>
      <w:bookmarkEnd w:id="55"/>
    </w:p>
    <w:p w14:paraId="4B4E0A25" w14:textId="77777777" w:rsidR="00DB427A" w:rsidRPr="00B15151" w:rsidRDefault="00DB427A" w:rsidP="00DB427A">
      <w:pPr>
        <w:pStyle w:val="Bullet1"/>
        <w:numPr>
          <w:ilvl w:val="0"/>
          <w:numId w:val="2"/>
        </w:numPr>
        <w:tabs>
          <w:tab w:val="clear" w:pos="360"/>
          <w:tab w:val="clear" w:pos="454"/>
        </w:tabs>
        <w:ind w:left="284" w:hanging="284"/>
      </w:pPr>
      <w:r w:rsidRPr="00B15151">
        <w:t>Providing secretariat support for the NZSL Board.</w:t>
      </w:r>
    </w:p>
    <w:p w14:paraId="0BE80303" w14:textId="77777777" w:rsidR="00DB427A" w:rsidRPr="00B15151" w:rsidRDefault="00DB427A" w:rsidP="00DB427A">
      <w:pPr>
        <w:pStyle w:val="Bullet1"/>
        <w:numPr>
          <w:ilvl w:val="0"/>
          <w:numId w:val="2"/>
        </w:numPr>
        <w:tabs>
          <w:tab w:val="clear" w:pos="360"/>
          <w:tab w:val="clear" w:pos="454"/>
        </w:tabs>
        <w:ind w:left="284" w:hanging="284"/>
      </w:pPr>
      <w:r w:rsidRPr="00B15151">
        <w:t>Preparing communications, media releases, speeches, social media posts, newsletters and stakeholder engagement.</w:t>
      </w:r>
    </w:p>
    <w:p w14:paraId="5EC84E33" w14:textId="77777777" w:rsidR="00DB427A" w:rsidRPr="00B15151" w:rsidRDefault="00DB427A" w:rsidP="00DB427A">
      <w:pPr>
        <w:pStyle w:val="Bullet1"/>
        <w:numPr>
          <w:ilvl w:val="0"/>
          <w:numId w:val="2"/>
        </w:numPr>
        <w:tabs>
          <w:tab w:val="clear" w:pos="360"/>
          <w:tab w:val="clear" w:pos="454"/>
        </w:tabs>
        <w:ind w:left="284" w:hanging="284"/>
      </w:pPr>
      <w:r w:rsidRPr="00B15151">
        <w:t xml:space="preserve">Managing contracts and supporting the DPO Coalition and agency engagement - giving voice to disabled people and raising the profile of disability issues, including delivery for </w:t>
      </w:r>
      <w:proofErr w:type="spellStart"/>
      <w:r w:rsidRPr="00B15151">
        <w:t>tangata</w:t>
      </w:r>
      <w:proofErr w:type="spellEnd"/>
      <w:r w:rsidRPr="00B15151">
        <w:t xml:space="preserve"> </w:t>
      </w:r>
      <w:proofErr w:type="spellStart"/>
      <w:r w:rsidRPr="00B15151">
        <w:t>whaikaha</w:t>
      </w:r>
      <w:proofErr w:type="spellEnd"/>
      <w:r w:rsidRPr="00B15151">
        <w:t>, Māori disabled people</w:t>
      </w:r>
      <w:bookmarkEnd w:id="52"/>
      <w:r w:rsidRPr="00B15151">
        <w:t>.</w:t>
      </w:r>
    </w:p>
    <w:p w14:paraId="456CD8A3" w14:textId="77777777" w:rsidR="00DB427A" w:rsidRPr="00B15151" w:rsidRDefault="00DB427A" w:rsidP="00DB427A">
      <w:pPr>
        <w:pStyle w:val="Bullet1"/>
        <w:numPr>
          <w:ilvl w:val="0"/>
          <w:numId w:val="2"/>
        </w:numPr>
        <w:tabs>
          <w:tab w:val="clear" w:pos="360"/>
          <w:tab w:val="clear" w:pos="454"/>
        </w:tabs>
        <w:ind w:left="284" w:hanging="284"/>
      </w:pPr>
      <w:bookmarkStart w:id="56" w:name="_Toc50988080"/>
      <w:r w:rsidRPr="00B15151">
        <w:t xml:space="preserve">Planning for the 2021 International Disability Leadership Initiative conference. </w:t>
      </w:r>
    </w:p>
    <w:p w14:paraId="7BBFC472" w14:textId="77777777" w:rsidR="00DB427A" w:rsidRPr="00B15151" w:rsidRDefault="00DB427A" w:rsidP="00DB427A">
      <w:pPr>
        <w:pStyle w:val="Bullet1"/>
        <w:numPr>
          <w:ilvl w:val="0"/>
          <w:numId w:val="2"/>
        </w:numPr>
        <w:tabs>
          <w:tab w:val="clear" w:pos="360"/>
          <w:tab w:val="clear" w:pos="454"/>
        </w:tabs>
        <w:ind w:left="284" w:hanging="284"/>
      </w:pPr>
      <w:r w:rsidRPr="00B15151">
        <w:t>Hosting international delegations wanting to learn about how New Zealand progresses disability issues.</w:t>
      </w:r>
    </w:p>
    <w:p w14:paraId="06E04473" w14:textId="77777777" w:rsidR="00DB427A" w:rsidRPr="00AD3472" w:rsidRDefault="00DB427A" w:rsidP="00DB427A">
      <w:pPr>
        <w:pStyle w:val="Bullet1"/>
        <w:numPr>
          <w:ilvl w:val="0"/>
          <w:numId w:val="2"/>
        </w:numPr>
        <w:tabs>
          <w:tab w:val="clear" w:pos="360"/>
          <w:tab w:val="clear" w:pos="454"/>
        </w:tabs>
        <w:ind w:left="284" w:hanging="284"/>
      </w:pPr>
      <w:r w:rsidRPr="00B15151">
        <w:t xml:space="preserve">Supporting </w:t>
      </w:r>
      <w:proofErr w:type="spellStart"/>
      <w:proofErr w:type="gramStart"/>
      <w:r w:rsidRPr="00B15151">
        <w:rPr>
          <w:i/>
        </w:rPr>
        <w:t>i.Lead</w:t>
      </w:r>
      <w:proofErr w:type="spellEnd"/>
      <w:proofErr w:type="gramEnd"/>
      <w:r w:rsidRPr="00B15151">
        <w:t>, a national disabled youth network providing advice to government agencies.</w:t>
      </w:r>
      <w:r w:rsidRPr="00AD3472">
        <w:rPr>
          <w:rFonts w:eastAsiaTheme="majorEastAsia"/>
          <w:bCs/>
          <w:color w:val="121F6B"/>
          <w:kern w:val="0"/>
          <w:szCs w:val="22"/>
          <w:lang w:val="en-NZ" w:eastAsia="en-AU"/>
        </w:rPr>
        <w:br w:type="page"/>
      </w:r>
    </w:p>
    <w:p w14:paraId="64AEAD24" w14:textId="77777777" w:rsidR="00DB427A" w:rsidRPr="00142E9E" w:rsidRDefault="00DB427A" w:rsidP="00DB427A">
      <w:pPr>
        <w:pStyle w:val="Heading2"/>
        <w:spacing w:before="240"/>
        <w:rPr>
          <w:color w:val="121F6B"/>
          <w:sz w:val="36"/>
          <w:szCs w:val="20"/>
        </w:rPr>
      </w:pPr>
      <w:bookmarkStart w:id="57" w:name="_Toc53379894"/>
      <w:bookmarkStart w:id="58" w:name="_Hlk52438527"/>
      <w:r w:rsidRPr="00B23291">
        <w:rPr>
          <w:color w:val="121F6B"/>
          <w:sz w:val="36"/>
          <w:szCs w:val="20"/>
        </w:rPr>
        <w:lastRenderedPageBreak/>
        <w:t>Appendix</w:t>
      </w:r>
      <w:r w:rsidRPr="00142E9E">
        <w:rPr>
          <w:color w:val="121F6B"/>
          <w:sz w:val="36"/>
          <w:szCs w:val="20"/>
        </w:rPr>
        <w:t xml:space="preserve"> </w:t>
      </w:r>
      <w:r>
        <w:rPr>
          <w:color w:val="121F6B"/>
          <w:sz w:val="36"/>
          <w:szCs w:val="20"/>
        </w:rPr>
        <w:t>2</w:t>
      </w:r>
      <w:r w:rsidRPr="00142E9E">
        <w:rPr>
          <w:color w:val="121F6B"/>
          <w:sz w:val="36"/>
          <w:szCs w:val="20"/>
        </w:rPr>
        <w:t xml:space="preserve"> - </w:t>
      </w:r>
      <w:r w:rsidRPr="00B23291">
        <w:rPr>
          <w:color w:val="121F6B"/>
          <w:sz w:val="36"/>
          <w:szCs w:val="20"/>
        </w:rPr>
        <w:t>Key contacts for the Office for Disability Issues</w:t>
      </w:r>
      <w:bookmarkEnd w:id="57"/>
    </w:p>
    <w:bookmarkEnd w:id="56"/>
    <w:p w14:paraId="1C353537" w14:textId="77777777" w:rsidR="00DB427A" w:rsidRDefault="00DB427A" w:rsidP="00DB427A">
      <w:pPr>
        <w:tabs>
          <w:tab w:val="left" w:pos="2410"/>
        </w:tabs>
        <w:rPr>
          <w:b/>
          <w:szCs w:val="22"/>
        </w:rPr>
      </w:pPr>
    </w:p>
    <w:p w14:paraId="4047517A" w14:textId="77777777" w:rsidR="00DB427A" w:rsidRPr="00666313" w:rsidRDefault="00DB427A" w:rsidP="00DB427A">
      <w:pPr>
        <w:pStyle w:val="Bodyintrotext"/>
      </w:pPr>
      <w:r w:rsidRPr="00666313">
        <w:t>Office for Disability Issues</w:t>
      </w:r>
    </w:p>
    <w:p w14:paraId="0B0D8EA3" w14:textId="77777777" w:rsidR="00DB427A" w:rsidRPr="00977534" w:rsidRDefault="00DB427A" w:rsidP="00AB1A3B">
      <w:pPr>
        <w:tabs>
          <w:tab w:val="left" w:pos="2410"/>
        </w:tabs>
        <w:rPr>
          <w:b/>
          <w:szCs w:val="22"/>
        </w:rPr>
      </w:pPr>
      <w:r w:rsidRPr="00977534">
        <w:rPr>
          <w:b/>
          <w:szCs w:val="22"/>
        </w:rPr>
        <w:t>Brian Coffey</w:t>
      </w:r>
      <w:r>
        <w:rPr>
          <w:b/>
          <w:szCs w:val="22"/>
        </w:rPr>
        <w:t xml:space="preserve">, </w:t>
      </w:r>
      <w:r w:rsidRPr="00CE6795">
        <w:rPr>
          <w:szCs w:val="22"/>
        </w:rPr>
        <w:t>Director</w:t>
      </w:r>
    </w:p>
    <w:p w14:paraId="2225CA79" w14:textId="0BF0DA73" w:rsidR="00DB427A" w:rsidRPr="00AB1A3B" w:rsidRDefault="00AB1A3B" w:rsidP="00AB1A3B">
      <w:pPr>
        <w:autoSpaceDE w:val="0"/>
        <w:autoSpaceDN w:val="0"/>
        <w:adjustRightInd w:val="0"/>
        <w:spacing w:line="240" w:lineRule="auto"/>
        <w:rPr>
          <w:rFonts w:cs="Verdana"/>
          <w:b/>
          <w:bCs/>
          <w:i/>
          <w:iCs/>
          <w:kern w:val="0"/>
          <w:szCs w:val="22"/>
          <w:lang w:val="en-NZ"/>
        </w:rPr>
      </w:pPr>
      <w:r w:rsidRPr="00AB1A3B">
        <w:rPr>
          <w:rFonts w:cs="Verdana"/>
          <w:b/>
          <w:bCs/>
          <w:i/>
          <w:iCs/>
          <w:kern w:val="0"/>
          <w:szCs w:val="22"/>
          <w:lang w:val="en-NZ"/>
        </w:rPr>
        <w:t>Section 9(2)(a) of the</w:t>
      </w:r>
      <w:r>
        <w:rPr>
          <w:rFonts w:cs="Verdana"/>
          <w:b/>
          <w:bCs/>
          <w:i/>
          <w:iCs/>
          <w:kern w:val="0"/>
          <w:szCs w:val="22"/>
          <w:lang w:val="en-NZ"/>
        </w:rPr>
        <w:t xml:space="preserve"> </w:t>
      </w:r>
      <w:r w:rsidRPr="00AB1A3B">
        <w:rPr>
          <w:rFonts w:cs="Verdana"/>
          <w:b/>
          <w:bCs/>
          <w:i/>
          <w:iCs/>
          <w:kern w:val="0"/>
          <w:szCs w:val="22"/>
          <w:lang w:val="en-NZ"/>
        </w:rPr>
        <w:t>Official Information Act</w:t>
      </w:r>
    </w:p>
    <w:p w14:paraId="1ED553D5" w14:textId="6300C628" w:rsidR="00DB427A" w:rsidRPr="00AB1A3B" w:rsidRDefault="00AB1A3B" w:rsidP="00AB1A3B">
      <w:pPr>
        <w:autoSpaceDE w:val="0"/>
        <w:autoSpaceDN w:val="0"/>
        <w:adjustRightInd w:val="0"/>
        <w:spacing w:line="240" w:lineRule="auto"/>
        <w:rPr>
          <w:rFonts w:cs="Verdana"/>
          <w:b/>
          <w:bCs/>
          <w:i/>
          <w:iCs/>
          <w:kern w:val="0"/>
          <w:szCs w:val="22"/>
          <w:lang w:val="en-NZ"/>
        </w:rPr>
      </w:pPr>
      <w:r w:rsidRPr="00AB1A3B">
        <w:rPr>
          <w:rFonts w:cs="Verdana"/>
          <w:b/>
          <w:bCs/>
          <w:i/>
          <w:iCs/>
          <w:kern w:val="0"/>
          <w:szCs w:val="22"/>
          <w:lang w:val="en-NZ"/>
        </w:rPr>
        <w:t>Section 9(2)(a) of the</w:t>
      </w:r>
      <w:r>
        <w:rPr>
          <w:rFonts w:cs="Verdana"/>
          <w:b/>
          <w:bCs/>
          <w:i/>
          <w:iCs/>
          <w:kern w:val="0"/>
          <w:szCs w:val="22"/>
          <w:lang w:val="en-NZ"/>
        </w:rPr>
        <w:t xml:space="preserve"> </w:t>
      </w:r>
      <w:r w:rsidRPr="00AB1A3B">
        <w:rPr>
          <w:rFonts w:cs="Verdana"/>
          <w:b/>
          <w:bCs/>
          <w:i/>
          <w:iCs/>
          <w:kern w:val="0"/>
          <w:szCs w:val="22"/>
          <w:lang w:val="en-NZ"/>
        </w:rPr>
        <w:t>Official Information Act</w:t>
      </w:r>
      <w:r w:rsidR="00DB427A">
        <w:rPr>
          <w:b/>
          <w:szCs w:val="22"/>
          <w:lang w:val="en-NZ"/>
        </w:rPr>
        <w:t xml:space="preserve">, </w:t>
      </w:r>
      <w:r w:rsidR="00DB427A" w:rsidRPr="00CE6795">
        <w:rPr>
          <w:szCs w:val="22"/>
        </w:rPr>
        <w:t>Manager</w:t>
      </w:r>
    </w:p>
    <w:p w14:paraId="2FBECEC3" w14:textId="77777777" w:rsidR="00AB1A3B" w:rsidRPr="00AB1A3B" w:rsidRDefault="00AB1A3B" w:rsidP="00AB1A3B">
      <w:pPr>
        <w:autoSpaceDE w:val="0"/>
        <w:autoSpaceDN w:val="0"/>
        <w:adjustRightInd w:val="0"/>
        <w:spacing w:line="240" w:lineRule="auto"/>
        <w:rPr>
          <w:rFonts w:cs="Verdana"/>
          <w:b/>
          <w:bCs/>
          <w:i/>
          <w:iCs/>
          <w:kern w:val="0"/>
          <w:szCs w:val="22"/>
          <w:lang w:val="en-NZ"/>
        </w:rPr>
      </w:pPr>
      <w:r w:rsidRPr="00AB1A3B">
        <w:rPr>
          <w:rFonts w:cs="Verdana"/>
          <w:b/>
          <w:bCs/>
          <w:i/>
          <w:iCs/>
          <w:kern w:val="0"/>
          <w:szCs w:val="22"/>
          <w:lang w:val="en-NZ"/>
        </w:rPr>
        <w:t>Section 9(2)(a) of the</w:t>
      </w:r>
      <w:r>
        <w:rPr>
          <w:rFonts w:cs="Verdana"/>
          <w:b/>
          <w:bCs/>
          <w:i/>
          <w:iCs/>
          <w:kern w:val="0"/>
          <w:szCs w:val="22"/>
          <w:lang w:val="en-NZ"/>
        </w:rPr>
        <w:t xml:space="preserve"> </w:t>
      </w:r>
      <w:r w:rsidRPr="00AB1A3B">
        <w:rPr>
          <w:rFonts w:cs="Verdana"/>
          <w:b/>
          <w:bCs/>
          <w:i/>
          <w:iCs/>
          <w:kern w:val="0"/>
          <w:szCs w:val="22"/>
          <w:lang w:val="en-NZ"/>
        </w:rPr>
        <w:t>Official Information Act</w:t>
      </w:r>
    </w:p>
    <w:p w14:paraId="3E39CA97" w14:textId="77777777" w:rsidR="00DB427A" w:rsidRDefault="00DB427A" w:rsidP="00DB427A">
      <w:pPr>
        <w:tabs>
          <w:tab w:val="left" w:pos="2410"/>
        </w:tabs>
        <w:ind w:left="2410" w:right="-188" w:hanging="2410"/>
        <w:rPr>
          <w:b/>
          <w:szCs w:val="22"/>
        </w:rPr>
      </w:pPr>
    </w:p>
    <w:p w14:paraId="4A1DC59E" w14:textId="77777777" w:rsidR="00DB427A" w:rsidRPr="00C4032F" w:rsidRDefault="00DB427A" w:rsidP="00DB427A">
      <w:pPr>
        <w:pStyle w:val="Bodyintrotext"/>
      </w:pPr>
      <w:r w:rsidRPr="00C4032F">
        <w:t>MSD Policy</w:t>
      </w:r>
    </w:p>
    <w:p w14:paraId="7333122A" w14:textId="77777777" w:rsidR="00DB427A" w:rsidRPr="00CE6795" w:rsidRDefault="00DB427A" w:rsidP="00DB427A">
      <w:pPr>
        <w:tabs>
          <w:tab w:val="left" w:pos="2410"/>
        </w:tabs>
        <w:ind w:left="2410" w:right="-330" w:hanging="2410"/>
        <w:rPr>
          <w:szCs w:val="22"/>
        </w:rPr>
      </w:pPr>
      <w:r w:rsidRPr="00977534">
        <w:rPr>
          <w:b/>
          <w:szCs w:val="22"/>
        </w:rPr>
        <w:t>Julia Bergman</w:t>
      </w:r>
      <w:r>
        <w:rPr>
          <w:b/>
          <w:szCs w:val="22"/>
        </w:rPr>
        <w:t xml:space="preserve">, </w:t>
      </w:r>
      <w:r w:rsidRPr="00CE6795">
        <w:rPr>
          <w:szCs w:val="22"/>
        </w:rPr>
        <w:t>General Manager, Disability Seniors and International Policy</w:t>
      </w:r>
    </w:p>
    <w:p w14:paraId="460EEDB3" w14:textId="77777777" w:rsidR="00AB1A3B" w:rsidRPr="00AB1A3B" w:rsidRDefault="00AB1A3B" w:rsidP="00AB1A3B">
      <w:pPr>
        <w:autoSpaceDE w:val="0"/>
        <w:autoSpaceDN w:val="0"/>
        <w:adjustRightInd w:val="0"/>
        <w:spacing w:line="240" w:lineRule="auto"/>
        <w:rPr>
          <w:rFonts w:cs="Verdana"/>
          <w:b/>
          <w:bCs/>
          <w:i/>
          <w:iCs/>
          <w:kern w:val="0"/>
          <w:szCs w:val="22"/>
          <w:lang w:val="en-NZ"/>
        </w:rPr>
      </w:pPr>
      <w:r w:rsidRPr="00AB1A3B">
        <w:rPr>
          <w:rFonts w:cs="Verdana"/>
          <w:b/>
          <w:bCs/>
          <w:i/>
          <w:iCs/>
          <w:kern w:val="0"/>
          <w:szCs w:val="22"/>
          <w:lang w:val="en-NZ"/>
        </w:rPr>
        <w:t>Section 9(2)(a) of the</w:t>
      </w:r>
      <w:r>
        <w:rPr>
          <w:rFonts w:cs="Verdana"/>
          <w:b/>
          <w:bCs/>
          <w:i/>
          <w:iCs/>
          <w:kern w:val="0"/>
          <w:szCs w:val="22"/>
          <w:lang w:val="en-NZ"/>
        </w:rPr>
        <w:t xml:space="preserve"> </w:t>
      </w:r>
      <w:r w:rsidRPr="00AB1A3B">
        <w:rPr>
          <w:rFonts w:cs="Verdana"/>
          <w:b/>
          <w:bCs/>
          <w:i/>
          <w:iCs/>
          <w:kern w:val="0"/>
          <w:szCs w:val="22"/>
          <w:lang w:val="en-NZ"/>
        </w:rPr>
        <w:t>Official Information Act</w:t>
      </w:r>
    </w:p>
    <w:p w14:paraId="64131CB3" w14:textId="4AF6A47A" w:rsidR="00DB427A" w:rsidRPr="00AB1A3B" w:rsidRDefault="00AB1A3B" w:rsidP="00AB1A3B">
      <w:pPr>
        <w:autoSpaceDE w:val="0"/>
        <w:autoSpaceDN w:val="0"/>
        <w:adjustRightInd w:val="0"/>
        <w:spacing w:line="240" w:lineRule="auto"/>
        <w:rPr>
          <w:rFonts w:cs="Verdana"/>
          <w:b/>
          <w:bCs/>
          <w:i/>
          <w:iCs/>
          <w:kern w:val="0"/>
          <w:szCs w:val="22"/>
          <w:lang w:val="en-NZ"/>
        </w:rPr>
      </w:pPr>
      <w:r w:rsidRPr="00AB1A3B">
        <w:rPr>
          <w:rFonts w:cs="Verdana"/>
          <w:b/>
          <w:bCs/>
          <w:i/>
          <w:iCs/>
          <w:kern w:val="0"/>
          <w:szCs w:val="22"/>
          <w:lang w:val="en-NZ"/>
        </w:rPr>
        <w:t>Section 9(2)(a) of the</w:t>
      </w:r>
      <w:r>
        <w:rPr>
          <w:rFonts w:cs="Verdana"/>
          <w:b/>
          <w:bCs/>
          <w:i/>
          <w:iCs/>
          <w:kern w:val="0"/>
          <w:szCs w:val="22"/>
          <w:lang w:val="en-NZ"/>
        </w:rPr>
        <w:t xml:space="preserve"> </w:t>
      </w:r>
      <w:r w:rsidRPr="00AB1A3B">
        <w:rPr>
          <w:rFonts w:cs="Verdana"/>
          <w:b/>
          <w:bCs/>
          <w:i/>
          <w:iCs/>
          <w:kern w:val="0"/>
          <w:szCs w:val="22"/>
          <w:lang w:val="en-NZ"/>
        </w:rPr>
        <w:t>Official Information Act</w:t>
      </w:r>
      <w:r w:rsidR="00DB427A">
        <w:rPr>
          <w:b/>
          <w:szCs w:val="22"/>
        </w:rPr>
        <w:t xml:space="preserve">, </w:t>
      </w:r>
      <w:r w:rsidR="00DB427A" w:rsidRPr="00CE6795">
        <w:rPr>
          <w:szCs w:val="22"/>
        </w:rPr>
        <w:t>Manager, Disability Policy</w:t>
      </w:r>
    </w:p>
    <w:p w14:paraId="45C1C438" w14:textId="77777777" w:rsidR="00AB1A3B" w:rsidRPr="00AB1A3B" w:rsidRDefault="00AB1A3B" w:rsidP="00AB1A3B">
      <w:pPr>
        <w:autoSpaceDE w:val="0"/>
        <w:autoSpaceDN w:val="0"/>
        <w:adjustRightInd w:val="0"/>
        <w:spacing w:line="240" w:lineRule="auto"/>
        <w:rPr>
          <w:rFonts w:cs="Verdana"/>
          <w:b/>
          <w:bCs/>
          <w:i/>
          <w:iCs/>
          <w:kern w:val="0"/>
          <w:szCs w:val="22"/>
          <w:lang w:val="en-NZ"/>
        </w:rPr>
      </w:pPr>
      <w:r w:rsidRPr="00AB1A3B">
        <w:rPr>
          <w:rFonts w:cs="Verdana"/>
          <w:b/>
          <w:bCs/>
          <w:i/>
          <w:iCs/>
          <w:kern w:val="0"/>
          <w:szCs w:val="22"/>
          <w:lang w:val="en-NZ"/>
        </w:rPr>
        <w:t>Section 9(2)(a) of the</w:t>
      </w:r>
      <w:r>
        <w:rPr>
          <w:rFonts w:cs="Verdana"/>
          <w:b/>
          <w:bCs/>
          <w:i/>
          <w:iCs/>
          <w:kern w:val="0"/>
          <w:szCs w:val="22"/>
          <w:lang w:val="en-NZ"/>
        </w:rPr>
        <w:t xml:space="preserve"> </w:t>
      </w:r>
      <w:r w:rsidRPr="00AB1A3B">
        <w:rPr>
          <w:rFonts w:cs="Verdana"/>
          <w:b/>
          <w:bCs/>
          <w:i/>
          <w:iCs/>
          <w:kern w:val="0"/>
          <w:szCs w:val="22"/>
          <w:lang w:val="en-NZ"/>
        </w:rPr>
        <w:t>Official Information Act</w:t>
      </w:r>
    </w:p>
    <w:p w14:paraId="5A346DD7" w14:textId="77777777" w:rsidR="00DB427A" w:rsidRDefault="00DB427A" w:rsidP="00DB427A">
      <w:pPr>
        <w:spacing w:after="0" w:line="240" w:lineRule="auto"/>
      </w:pPr>
      <w:r>
        <w:br w:type="page"/>
      </w:r>
    </w:p>
    <w:bookmarkEnd w:id="58"/>
    <w:p w14:paraId="2866AC85" w14:textId="77777777" w:rsidR="00DB427A" w:rsidRPr="00142E9E" w:rsidRDefault="00DB427A" w:rsidP="00DB427A">
      <w:pPr>
        <w:pStyle w:val="Heading2"/>
        <w:framePr w:wrap="notBeside" w:vAnchor="text" w:hAnchor="text" w:y="1"/>
        <w:spacing w:before="240"/>
        <w:ind w:right="-329"/>
        <w:rPr>
          <w:color w:val="121F6B"/>
          <w:sz w:val="36"/>
          <w:szCs w:val="20"/>
        </w:rPr>
      </w:pPr>
      <w:r w:rsidRPr="004349D0">
        <w:lastRenderedPageBreak/>
        <w:br w:type="page"/>
      </w:r>
      <w:bookmarkStart w:id="59" w:name="_Toc50988083"/>
      <w:bookmarkStart w:id="60" w:name="_Toc53379895"/>
      <w:bookmarkEnd w:id="5"/>
      <w:r w:rsidRPr="00142E9E">
        <w:rPr>
          <w:color w:val="121F6B"/>
          <w:sz w:val="36"/>
          <w:szCs w:val="20"/>
        </w:rPr>
        <w:t xml:space="preserve">Appendix </w:t>
      </w:r>
      <w:r>
        <w:rPr>
          <w:color w:val="121F6B"/>
          <w:sz w:val="36"/>
          <w:szCs w:val="20"/>
        </w:rPr>
        <w:t>3</w:t>
      </w:r>
      <w:r w:rsidRPr="00142E9E">
        <w:rPr>
          <w:color w:val="121F6B"/>
          <w:sz w:val="36"/>
          <w:szCs w:val="20"/>
        </w:rPr>
        <w:t xml:space="preserve"> - DPO Coalition Briefing to the Incoming Minister</w:t>
      </w:r>
      <w:bookmarkEnd w:id="59"/>
      <w:bookmarkEnd w:id="60"/>
    </w:p>
    <w:p w14:paraId="05F534E0" w14:textId="77777777" w:rsidR="00DB427A" w:rsidRPr="00B82204" w:rsidRDefault="00DB427A" w:rsidP="00DB427A">
      <w:pPr>
        <w:jc w:val="right"/>
        <w:rPr>
          <w:lang w:val="en-NZ"/>
        </w:rPr>
      </w:pPr>
      <w:r w:rsidRPr="00B82204">
        <w:rPr>
          <w:lang w:val="en-NZ"/>
        </w:rPr>
        <w:t>August 2020</w:t>
      </w:r>
    </w:p>
    <w:p w14:paraId="2AFA1E96" w14:textId="77777777" w:rsidR="00DB427A" w:rsidRPr="006C34E4" w:rsidRDefault="00DB427A" w:rsidP="00DB427A">
      <w:pPr>
        <w:pStyle w:val="Header"/>
        <w:jc w:val="right"/>
        <w:rPr>
          <w:rFonts w:ascii="Arial" w:hAnsi="Arial"/>
          <w:sz w:val="72"/>
          <w:szCs w:val="72"/>
        </w:rPr>
      </w:pPr>
      <w:r>
        <w:rPr>
          <w:rFonts w:ascii="Arial" w:hAnsi="Arial"/>
          <w:sz w:val="72"/>
          <w:szCs w:val="72"/>
        </w:rPr>
        <w:t>D</w:t>
      </w:r>
      <w:r w:rsidRPr="006C34E4">
        <w:rPr>
          <w:rFonts w:ascii="Arial" w:hAnsi="Arial"/>
          <w:sz w:val="72"/>
          <w:szCs w:val="72"/>
        </w:rPr>
        <w:t>PO Coalition</w:t>
      </w:r>
    </w:p>
    <w:p w14:paraId="58743695" w14:textId="77777777" w:rsidR="00DB427A" w:rsidRPr="00977534" w:rsidRDefault="00DB427A" w:rsidP="00DB427A">
      <w:pPr>
        <w:pStyle w:val="Header"/>
        <w:spacing w:before="120"/>
        <w:jc w:val="right"/>
        <w:rPr>
          <w:szCs w:val="22"/>
        </w:rPr>
      </w:pPr>
      <w:r w:rsidRPr="00977534">
        <w:rPr>
          <w:szCs w:val="22"/>
        </w:rPr>
        <w:t>by email: us-dpo@groups.io</w:t>
      </w:r>
    </w:p>
    <w:p w14:paraId="7D5EE703" w14:textId="77777777" w:rsidR="00DB427A" w:rsidRPr="004D6F63" w:rsidRDefault="00DB427A" w:rsidP="00DB427A"/>
    <w:p w14:paraId="3CD16C14" w14:textId="77777777" w:rsidR="00DB427A" w:rsidRPr="004D6F63" w:rsidRDefault="00DB427A" w:rsidP="00DB427A">
      <w:r w:rsidRPr="004D6F63">
        <w:t>Dear Minister,</w:t>
      </w:r>
    </w:p>
    <w:p w14:paraId="492C1D32" w14:textId="77777777" w:rsidR="00DB427A" w:rsidRPr="004D6F63" w:rsidRDefault="00DB427A" w:rsidP="00DB427A">
      <w:r w:rsidRPr="004D6F63">
        <w:t xml:space="preserve">The Disabled People’s </w:t>
      </w:r>
      <w:proofErr w:type="spellStart"/>
      <w:r w:rsidRPr="004D6F63">
        <w:t>Organisations</w:t>
      </w:r>
      <w:proofErr w:type="spellEnd"/>
      <w:r w:rsidRPr="004D6F63">
        <w:t xml:space="preserve"> (DPO) Coalition is the agency for direct access to the collective and informed voice of disabled people for input and advice into Government policy and decision-making. The focus of the DPO Coalition is full achievement of disability rights in Aotearoa New Zealand.</w:t>
      </w:r>
      <w:r>
        <w:t xml:space="preserve"> </w:t>
      </w:r>
      <w:r w:rsidRPr="004D6F63">
        <w:t xml:space="preserve">It is not about </w:t>
      </w:r>
      <w:proofErr w:type="spellStart"/>
      <w:r w:rsidRPr="004D6F63">
        <w:t>prioritising</w:t>
      </w:r>
      <w:proofErr w:type="spellEnd"/>
      <w:r w:rsidRPr="004D6F63">
        <w:t xml:space="preserve"> the rights, it's about setting plans and timeframes to achieve them.</w:t>
      </w:r>
      <w:r>
        <w:t xml:space="preserve"> </w:t>
      </w:r>
      <w:r w:rsidRPr="004D6F63">
        <w:t>Including the voice of disabled people is crucial in ensuring that advice to Government is informed by the people for whom it has the most impact.</w:t>
      </w:r>
      <w:r>
        <w:t xml:space="preserve"> </w:t>
      </w:r>
      <w:r w:rsidRPr="004D6F63">
        <w:t xml:space="preserve">Our </w:t>
      </w:r>
      <w:proofErr w:type="gramStart"/>
      <w:r w:rsidRPr="004D6F63">
        <w:t>seven member</w:t>
      </w:r>
      <w:proofErr w:type="gramEnd"/>
      <w:r w:rsidRPr="004D6F63">
        <w:t xml:space="preserve"> </w:t>
      </w:r>
      <w:proofErr w:type="spellStart"/>
      <w:r w:rsidRPr="004D6F63">
        <w:t>organisations</w:t>
      </w:r>
      <w:proofErr w:type="spellEnd"/>
      <w:r w:rsidRPr="004D6F63">
        <w:t xml:space="preserve"> are all led by disabled people. We strongly adhere to the principle of 'nothing about us, without us'.</w:t>
      </w:r>
    </w:p>
    <w:p w14:paraId="3C68F084" w14:textId="77777777" w:rsidR="00DB427A" w:rsidRPr="004D6F63" w:rsidRDefault="00DB427A" w:rsidP="00DB427A">
      <w:r w:rsidRPr="004D6F63">
        <w:t xml:space="preserve">The DPO Coalition is ready to work with you to continue New Zealand’s progress on disability rights to meet its obligations under the United Nations Convention on the Rights of Persons with Disabilities (UNCRPD). </w:t>
      </w:r>
    </w:p>
    <w:p w14:paraId="20DFBA44" w14:textId="77777777" w:rsidR="00DB427A" w:rsidRPr="004D6F63" w:rsidRDefault="00DB427A" w:rsidP="00DB427A">
      <w:r w:rsidRPr="004D6F63">
        <w:t>Our partnership with Government is required by Article 4.3 of the UNCRPD. We also provide independent Disabled People Led Monitoring under Article 33.</w:t>
      </w:r>
    </w:p>
    <w:p w14:paraId="41F99307" w14:textId="77777777" w:rsidR="00DB427A" w:rsidRPr="004D6F63" w:rsidRDefault="00DB427A" w:rsidP="00DB427A">
      <w:r w:rsidRPr="004D6F63">
        <w:rPr>
          <w:b/>
        </w:rPr>
        <w:t>Maintaining relationships</w:t>
      </w:r>
      <w:r w:rsidRPr="004D6F63">
        <w:t xml:space="preserve"> – the DPO Coalition has worked well with successive </w:t>
      </w:r>
      <w:r>
        <w:t>g</w:t>
      </w:r>
      <w:r w:rsidRPr="004D6F63">
        <w:t xml:space="preserve">overnments through strong partnership relationships with Ministers and across </w:t>
      </w:r>
      <w:r>
        <w:t>g</w:t>
      </w:r>
      <w:r w:rsidRPr="004D6F63">
        <w:t xml:space="preserve">overnment agencies. We are proud of the significant progress achieved during the last parliamentary term including: the NZ Disability Strategy; Disability Action Plan 2019-23 covering all </w:t>
      </w:r>
      <w:r>
        <w:t>g</w:t>
      </w:r>
      <w:r w:rsidRPr="004D6F63">
        <w:t xml:space="preserve">overnment agencies; Accessibility Charter signed by 39 of the 40 </w:t>
      </w:r>
      <w:r>
        <w:t>g</w:t>
      </w:r>
      <w:r w:rsidRPr="004D6F63">
        <w:t>overnment agencies.</w:t>
      </w:r>
      <w:r>
        <w:t xml:space="preserve"> </w:t>
      </w:r>
      <w:r w:rsidRPr="004D6F63">
        <w:t>Government has delivered progress across a wide range of difficult issues.</w:t>
      </w:r>
      <w:r>
        <w:t xml:space="preserve"> </w:t>
      </w:r>
      <w:r w:rsidRPr="004D6F63">
        <w:t xml:space="preserve">Momentum needs to be maintained. The United Nations General Comment #7 provides a useful guide. </w:t>
      </w:r>
    </w:p>
    <w:p w14:paraId="1E8A4298" w14:textId="77777777" w:rsidR="00DB427A" w:rsidRPr="004D6F63" w:rsidRDefault="00DB427A" w:rsidP="00DB427A">
      <w:r w:rsidRPr="004D6F63">
        <w:rPr>
          <w:b/>
        </w:rPr>
        <w:t>Choice and control</w:t>
      </w:r>
      <w:r w:rsidRPr="004D6F63">
        <w:t xml:space="preserve"> – significant progress has been made over the last several years in advancing choice and control for disabled people in their disability supports and services through the Enabling Good Lives principles and its demonstration pilots, including the Mana </w:t>
      </w:r>
      <w:proofErr w:type="spellStart"/>
      <w:r w:rsidRPr="004D6F63">
        <w:t>Whaikaha</w:t>
      </w:r>
      <w:proofErr w:type="spellEnd"/>
      <w:r w:rsidRPr="004D6F63">
        <w:t xml:space="preserve"> prototype. Another Disability Action Plan work programme has been looking at the machinery of </w:t>
      </w:r>
      <w:r>
        <w:t>g</w:t>
      </w:r>
      <w:r w:rsidRPr="004D6F63">
        <w:t xml:space="preserve">overnment for disability supports and services. Together the DPO Coalition and Government </w:t>
      </w:r>
      <w:r w:rsidRPr="004D6F63">
        <w:lastRenderedPageBreak/>
        <w:t>can design a disability support system that ensures the human rights, self-determination and dignity of disabled people.</w:t>
      </w:r>
    </w:p>
    <w:p w14:paraId="39298CE6" w14:textId="77777777" w:rsidR="00DB427A" w:rsidRPr="004D6F63" w:rsidRDefault="00DB427A" w:rsidP="00DB427A">
      <w:r w:rsidRPr="004D6F63">
        <w:rPr>
          <w:b/>
        </w:rPr>
        <w:t>Supported decision-making</w:t>
      </w:r>
      <w:r w:rsidRPr="004D6F63">
        <w:t xml:space="preserve"> </w:t>
      </w:r>
      <w:r>
        <w:t xml:space="preserve">– this </w:t>
      </w:r>
      <w:r w:rsidRPr="004D6F63">
        <w:t>is a key enabler of choice and control. Good work has been done, and this needs to be taken up across Government and promoted throughout New Zealand society.</w:t>
      </w:r>
    </w:p>
    <w:p w14:paraId="0A0F1891" w14:textId="77777777" w:rsidR="00DB427A" w:rsidRPr="004D6F63" w:rsidRDefault="00DB427A" w:rsidP="00DB427A">
      <w:r w:rsidRPr="004D6F63">
        <w:rPr>
          <w:b/>
        </w:rPr>
        <w:t>Health and Wellbeing</w:t>
      </w:r>
      <w:r w:rsidRPr="004D6F63">
        <w:t xml:space="preserve"> – our work across </w:t>
      </w:r>
      <w:r>
        <w:t>g</w:t>
      </w:r>
      <w:r w:rsidRPr="004D6F63">
        <w:t>overnment agencies has highlighted the importance of coordination to deliver value for disabled people.</w:t>
      </w:r>
      <w:r>
        <w:t xml:space="preserve"> </w:t>
      </w:r>
      <w:r w:rsidRPr="004D6F63">
        <w:t>The COVID-19 response has reinforced this</w:t>
      </w:r>
      <w:r>
        <w:t>,</w:t>
      </w:r>
      <w:r w:rsidRPr="004D6F63">
        <w:t xml:space="preserve"> and we have </w:t>
      </w:r>
      <w:r>
        <w:t>an</w:t>
      </w:r>
      <w:r w:rsidRPr="004D6F63">
        <w:t xml:space="preserve"> opportunity to accentuate coordination going forward. The DPO Coalition believes that now is the right time to move to a Disability agency to coordinate all </w:t>
      </w:r>
      <w:r>
        <w:t>g</w:t>
      </w:r>
      <w:r w:rsidRPr="004D6F63">
        <w:t>overnment services for disabled people.</w:t>
      </w:r>
      <w:r>
        <w:t xml:space="preserve"> </w:t>
      </w:r>
      <w:r w:rsidRPr="004D6F63">
        <w:t>Unfortunately, the Health and Disability System Review has not engaged well with disabled people and has missed the opportunity to explore this. The DPO Coalition has raised serious concerns that the Review’s recommendations are inconsistent with the Government’s obligations under the UNCRPD and undermine the progress being made on choice and control. It further risks re-</w:t>
      </w:r>
      <w:proofErr w:type="spellStart"/>
      <w:r w:rsidRPr="004D6F63">
        <w:t>medicalising</w:t>
      </w:r>
      <w:proofErr w:type="spellEnd"/>
      <w:r w:rsidRPr="004D6F63">
        <w:t xml:space="preserve"> disability as a health issue and undoing many years of hard-won work to have disability seen as a human rights issue and not a health or medical issue. The disability sector continues to call for a nationally consistent and coordinated disability support system separate from the health system.</w:t>
      </w:r>
      <w:r>
        <w:t xml:space="preserve"> </w:t>
      </w:r>
      <w:r w:rsidRPr="004D6F63">
        <w:t xml:space="preserve">The Review’s recommendations need to be reconsidered with respect to disabled people. </w:t>
      </w:r>
    </w:p>
    <w:p w14:paraId="002E3152" w14:textId="77777777" w:rsidR="00DB427A" w:rsidRPr="004D6F63" w:rsidRDefault="00DB427A" w:rsidP="00DB427A">
      <w:r w:rsidRPr="004D6F63">
        <w:rPr>
          <w:b/>
        </w:rPr>
        <w:t>Housing</w:t>
      </w:r>
      <w:r w:rsidRPr="004D6F63">
        <w:t xml:space="preserve"> – our Disabled People Led Monitoring Report </w:t>
      </w:r>
      <w:r w:rsidRPr="004D6F63">
        <w:rPr>
          <w:i/>
        </w:rPr>
        <w:t>Housing in New Zealand – My Experiences, My Rights</w:t>
      </w:r>
      <w:r w:rsidRPr="004D6F63">
        <w:t xml:space="preserve"> provides evidence on disabled people’s experiences with housing and proposes a way forward. It is critical that Government considers this report and shows leadership through policy change, housing standards, and its investment in public housing.</w:t>
      </w:r>
    </w:p>
    <w:p w14:paraId="0726C493" w14:textId="77777777" w:rsidR="00DB427A" w:rsidRPr="004D6F63" w:rsidRDefault="00DB427A" w:rsidP="00DB427A">
      <w:r w:rsidRPr="004D6F63">
        <w:rPr>
          <w:b/>
        </w:rPr>
        <w:t>Employment</w:t>
      </w:r>
      <w:r w:rsidRPr="004D6F63">
        <w:t xml:space="preserve"> – it is positive to see Government showing leadership in employment of disabled people.</w:t>
      </w:r>
      <w:r>
        <w:t xml:space="preserve"> </w:t>
      </w:r>
      <w:r w:rsidRPr="004D6F63">
        <w:t xml:space="preserve">Reasonable accommodations are becoming part of the employment relationship rather than </w:t>
      </w:r>
      <w:proofErr w:type="gramStart"/>
      <w:r w:rsidRPr="004D6F63">
        <w:t>being seen as</w:t>
      </w:r>
      <w:proofErr w:type="gramEnd"/>
      <w:r w:rsidRPr="004D6F63">
        <w:t xml:space="preserve"> additional. Much more needs to be done to achieve equal opportunity across all employers. Awareness raising, education, training and support will be required.</w:t>
      </w:r>
    </w:p>
    <w:p w14:paraId="754FEE34" w14:textId="77777777" w:rsidR="00DB427A" w:rsidRPr="004D6F63" w:rsidRDefault="00DB427A" w:rsidP="00DB427A">
      <w:r w:rsidRPr="004D6F63">
        <w:rPr>
          <w:b/>
        </w:rPr>
        <w:t>Transport</w:t>
      </w:r>
      <w:r w:rsidRPr="004D6F63">
        <w:t xml:space="preserve"> – many disabled people rely on access to public transport and footpaths in order to participate in society. Challenges remain in balancing access for disabled people with other users of the transport system (such as e-scooters). The DPO Coalition has good engagement with the Transport agencies and this needs to continue.</w:t>
      </w:r>
    </w:p>
    <w:p w14:paraId="16722EF4" w14:textId="77777777" w:rsidR="00DB427A" w:rsidRPr="004D6F63" w:rsidRDefault="00DB427A" w:rsidP="00DB427A">
      <w:r w:rsidRPr="004D6F63">
        <w:rPr>
          <w:b/>
        </w:rPr>
        <w:t>Education</w:t>
      </w:r>
      <w:r w:rsidRPr="004D6F63">
        <w:t xml:space="preserve"> – inclusive education has been a legal requirement in New Zealand since 1989 but has not been achieved. The DPO Coalition has released a definition of Inclusive Education and this needs to be fully reflected in the future direction for education. There has been good engagement with the Ministry and with the various education reviews.</w:t>
      </w:r>
    </w:p>
    <w:p w14:paraId="35800AC0" w14:textId="77777777" w:rsidR="00DB427A" w:rsidRPr="004D6F63" w:rsidRDefault="00DB427A" w:rsidP="00DB427A">
      <w:r w:rsidRPr="004D6F63">
        <w:rPr>
          <w:b/>
        </w:rPr>
        <w:lastRenderedPageBreak/>
        <w:t>Mental Health</w:t>
      </w:r>
      <w:r w:rsidRPr="004D6F63">
        <w:t xml:space="preserve"> – the recommendations of </w:t>
      </w:r>
      <w:proofErr w:type="spellStart"/>
      <w:r w:rsidRPr="004D6F63">
        <w:t>He</w:t>
      </w:r>
      <w:proofErr w:type="spellEnd"/>
      <w:r w:rsidRPr="004D6F63">
        <w:t xml:space="preserve"> Ara </w:t>
      </w:r>
      <w:proofErr w:type="spellStart"/>
      <w:r w:rsidRPr="004D6F63">
        <w:t>Oranga</w:t>
      </w:r>
      <w:proofErr w:type="spellEnd"/>
      <w:r w:rsidRPr="004D6F63">
        <w:t xml:space="preserve"> need to be implemented including the repeal and replacement of the Mental Health Act and elimination of seclusion and restraint.</w:t>
      </w:r>
      <w:r>
        <w:t xml:space="preserve"> </w:t>
      </w:r>
      <w:r w:rsidRPr="004D6F63">
        <w:t>Progress has been made, but there is much more to do.</w:t>
      </w:r>
    </w:p>
    <w:p w14:paraId="0C2945DD" w14:textId="77777777" w:rsidR="00DB427A" w:rsidRPr="004D6F63" w:rsidRDefault="00DB427A" w:rsidP="00DB427A">
      <w:r w:rsidRPr="004D6F63">
        <w:rPr>
          <w:b/>
        </w:rPr>
        <w:t>Justice</w:t>
      </w:r>
      <w:r w:rsidRPr="004D6F63">
        <w:t xml:space="preserve"> – disabled people’s experience of the justice system is poor due to lack of awareness and training.</w:t>
      </w:r>
      <w:r>
        <w:t xml:space="preserve"> </w:t>
      </w:r>
      <w:r w:rsidRPr="004D6F63">
        <w:t>There are many examples where issues could have been avoided. Work to improve the ‘journey through justice’ has been very slow and focus is needed to address this.</w:t>
      </w:r>
    </w:p>
    <w:p w14:paraId="2669E828" w14:textId="77777777" w:rsidR="00DB427A" w:rsidRPr="004D6F63" w:rsidRDefault="00DB427A" w:rsidP="00DB427A">
      <w:r w:rsidRPr="004D6F63">
        <w:rPr>
          <w:b/>
        </w:rPr>
        <w:t>Taxation</w:t>
      </w:r>
      <w:r w:rsidRPr="004D6F63">
        <w:t xml:space="preserve"> – there is opportunity to improve how the tax system contributes to the all-of-</w:t>
      </w:r>
      <w:r>
        <w:t>g</w:t>
      </w:r>
      <w:r w:rsidRPr="004D6F63">
        <w:t>overnment work on disability rights.</w:t>
      </w:r>
      <w:r>
        <w:t xml:space="preserve"> </w:t>
      </w:r>
      <w:r w:rsidRPr="004D6F63">
        <w:t>There has been limited attention to this in the past and there are some significant anomalies. The DPO Coalition wants to address these issues to improve the lives of disabled people.</w:t>
      </w:r>
    </w:p>
    <w:p w14:paraId="47FC1B33" w14:textId="77777777" w:rsidR="00DB427A" w:rsidRPr="004D6F63" w:rsidRDefault="00DB427A" w:rsidP="00DB427A">
      <w:r w:rsidRPr="004D6F63">
        <w:rPr>
          <w:b/>
        </w:rPr>
        <w:t>Accessibility Legislation</w:t>
      </w:r>
      <w:r w:rsidRPr="004D6F63">
        <w:t xml:space="preserve"> – work on Accessibility Legislation needs to continue so that New Zealand can ensure that all legislation is consistent with and upholds disability rights.</w:t>
      </w:r>
    </w:p>
    <w:p w14:paraId="2DAC571C" w14:textId="77777777" w:rsidR="00DB427A" w:rsidRPr="004D6F63" w:rsidRDefault="00DB427A" w:rsidP="00DB427A">
      <w:r w:rsidRPr="004D6F63">
        <w:rPr>
          <w:b/>
        </w:rPr>
        <w:t>Information</w:t>
      </w:r>
      <w:r w:rsidRPr="004D6F63">
        <w:t xml:space="preserve"> – data and evidence </w:t>
      </w:r>
      <w:r>
        <w:t>are</w:t>
      </w:r>
      <w:r w:rsidRPr="004D6F63">
        <w:t xml:space="preserve"> enabler</w:t>
      </w:r>
      <w:r>
        <w:t>s</w:t>
      </w:r>
      <w:r w:rsidRPr="004D6F63">
        <w:t xml:space="preserve"> of all </w:t>
      </w:r>
      <w:r>
        <w:t>g</w:t>
      </w:r>
      <w:r w:rsidRPr="004D6F63">
        <w:t xml:space="preserve">overnment activity on disability rights. Disability data is </w:t>
      </w:r>
      <w:proofErr w:type="spellStart"/>
      <w:r w:rsidRPr="004D6F63">
        <w:t>recognised</w:t>
      </w:r>
      <w:proofErr w:type="spellEnd"/>
      <w:r w:rsidRPr="004D6F63">
        <w:t xml:space="preserve"> as poor and useful work has begun to address this. Failures in the 2018 Census have compounded the </w:t>
      </w:r>
      <w:proofErr w:type="gramStart"/>
      <w:r w:rsidRPr="004D6F63">
        <w:t>problem</w:t>
      </w:r>
      <w:proofErr w:type="gramEnd"/>
      <w:r w:rsidRPr="004D6F63">
        <w:t xml:space="preserve"> however. Data and evidence need to remain a core focus of the Government.</w:t>
      </w:r>
    </w:p>
    <w:p w14:paraId="47969002" w14:textId="77777777" w:rsidR="00DB427A" w:rsidRPr="004D6F63" w:rsidRDefault="00DB427A" w:rsidP="00DB427A">
      <w:r w:rsidRPr="004D6F63">
        <w:rPr>
          <w:b/>
        </w:rPr>
        <w:t>Access to Parliament</w:t>
      </w:r>
      <w:r w:rsidRPr="004D6F63">
        <w:t xml:space="preserve"> – Parliament should be an exemplar in access for disabled people in all respects </w:t>
      </w:r>
      <w:proofErr w:type="gramStart"/>
      <w:r w:rsidRPr="004D6F63">
        <w:t>including:</w:t>
      </w:r>
      <w:proofErr w:type="gramEnd"/>
      <w:r w:rsidRPr="004D6F63">
        <w:t xml:space="preserve"> information; the precinct, engagement with parliamentary processes; and archives.</w:t>
      </w:r>
      <w:r>
        <w:t xml:space="preserve"> </w:t>
      </w:r>
      <w:r w:rsidRPr="004D6F63">
        <w:t>Progress has been slow and there is opportunity for the incoming Government to commit to addressing this.</w:t>
      </w:r>
    </w:p>
    <w:p w14:paraId="761F7776" w14:textId="77777777" w:rsidR="00DB427A" w:rsidRPr="004D6F63" w:rsidRDefault="00DB427A" w:rsidP="00DB427A">
      <w:r w:rsidRPr="004D6F63">
        <w:rPr>
          <w:b/>
        </w:rPr>
        <w:t>Advocacy</w:t>
      </w:r>
      <w:r w:rsidRPr="004D6F63">
        <w:t xml:space="preserve"> – the DPO Coalition and its member DPOs advocate for disabled people. The United Nations expects Governments to support their DPOs and ensure that they are sustainably resourced.</w:t>
      </w:r>
      <w:r>
        <w:t xml:space="preserve"> </w:t>
      </w:r>
      <w:r w:rsidRPr="004D6F63">
        <w:t>While there has been short-term Government funding for the DPO Coalition, medium-term sustainability has not been addressed and member DPOs also remain financially fragile. A medium to long term financial commitment from Government is required to enable the voice of disabled people to be sustainable and to deliver maximum value.</w:t>
      </w:r>
    </w:p>
    <w:p w14:paraId="3036E8CC" w14:textId="77777777" w:rsidR="00DB427A" w:rsidRPr="004D6F63" w:rsidRDefault="00DB427A" w:rsidP="00DB427A">
      <w:r w:rsidRPr="004D6F63">
        <w:t>Thank you for receiving our advice. We look forward to meeting with you.</w:t>
      </w:r>
    </w:p>
    <w:p w14:paraId="458DA88F" w14:textId="77777777" w:rsidR="00DB427A" w:rsidRDefault="00DB427A" w:rsidP="00DB427A">
      <w:pPr>
        <w:rPr>
          <w:rFonts w:ascii="Arial" w:hAnsi="Arial"/>
          <w:sz w:val="24"/>
          <w:szCs w:val="24"/>
          <w:lang w:val="en-NZ"/>
        </w:rPr>
      </w:pPr>
    </w:p>
    <w:p w14:paraId="6688569B" w14:textId="77777777" w:rsidR="00DB427A" w:rsidRDefault="00DB427A" w:rsidP="00DB427A">
      <w:pPr>
        <w:rPr>
          <w:rFonts w:ascii="Arial" w:hAnsi="Arial"/>
          <w:sz w:val="24"/>
          <w:szCs w:val="24"/>
          <w:lang w:val="en-NZ"/>
        </w:rPr>
        <w:sectPr w:rsidR="00DB427A" w:rsidSect="004A0DE3">
          <w:headerReference w:type="even" r:id="rId14"/>
          <w:headerReference w:type="default" r:id="rId15"/>
          <w:footerReference w:type="even" r:id="rId16"/>
          <w:footerReference w:type="default" r:id="rId17"/>
          <w:pgSz w:w="11906" w:h="16838"/>
          <w:pgMar w:top="1440" w:right="1440" w:bottom="1440" w:left="1440" w:header="708" w:footer="708" w:gutter="0"/>
          <w:pgNumType w:start="1"/>
          <w:cols w:space="708"/>
          <w:docGrid w:linePitch="360"/>
        </w:sectPr>
      </w:pPr>
    </w:p>
    <w:p w14:paraId="176F5E4A" w14:textId="77777777" w:rsidR="00DB427A" w:rsidRDefault="00DB427A" w:rsidP="00DB427A">
      <w:pPr>
        <w:rPr>
          <w:lang w:val="mi-NZ"/>
        </w:rPr>
      </w:pPr>
      <w:bookmarkStart w:id="61" w:name="_Hlk50616866"/>
    </w:p>
    <w:p w14:paraId="2680F887" w14:textId="77777777" w:rsidR="00DB427A" w:rsidRPr="00E94050" w:rsidRDefault="00DB427A" w:rsidP="00DB427A">
      <w:pPr>
        <w:rPr>
          <w:lang w:val="mi-NZ"/>
        </w:rPr>
      </w:pPr>
      <w:r w:rsidRPr="007C744E">
        <w:rPr>
          <w:noProof/>
        </w:rPr>
        <w:drawing>
          <wp:inline distT="0" distB="0" distL="0" distR="0" wp14:anchorId="19EE2736" wp14:editId="6B825C9E">
            <wp:extent cx="2767391" cy="1106329"/>
            <wp:effectExtent l="0" t="0" r="0" b="0"/>
            <wp:docPr id="25" name="Picture 9" descr="This is the NZSL Board logo released adopted in July 2020.  The text says &quot;NZSL Board, New Zealand Sign Language Board, Te Oranga Reo Rota.&#10;The image is a stylised seed head representing the importance of intergenerational use of the language.  ">
              <a:extLst xmlns:a="http://schemas.openxmlformats.org/drawingml/2006/main">
                <a:ext uri="{FF2B5EF4-FFF2-40B4-BE49-F238E27FC236}">
                  <a16:creationId xmlns:a16="http://schemas.microsoft.com/office/drawing/2014/main" id="{FD523866-4A4B-4A88-95FF-4E84D75E9C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This is the NZSL Board logo released adopted in July 2020.  The text says &quot;NZSL Board, New Zealand Sign Language Board, Te Oranga Reo Rota.&#10;The image is a stylised seed head representing the importance of intergenerational use of the language.  ">
                      <a:extLst>
                        <a:ext uri="{FF2B5EF4-FFF2-40B4-BE49-F238E27FC236}">
                          <a16:creationId xmlns:a16="http://schemas.microsoft.com/office/drawing/2014/main" id="{FD523866-4A4B-4A88-95FF-4E84D75E9CED}"/>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67391" cy="1106329"/>
                    </a:xfrm>
                    <a:prstGeom prst="rect">
                      <a:avLst/>
                    </a:prstGeom>
                  </pic:spPr>
                </pic:pic>
              </a:graphicData>
            </a:graphic>
          </wp:inline>
        </w:drawing>
      </w:r>
    </w:p>
    <w:p w14:paraId="3CCB1CFF" w14:textId="77777777" w:rsidR="00DB427A" w:rsidRPr="00CC21F0" w:rsidRDefault="00DB427A" w:rsidP="00DB427A">
      <w:pPr>
        <w:pStyle w:val="Heading2"/>
        <w:tabs>
          <w:tab w:val="right" w:pos="8789"/>
        </w:tabs>
        <w:spacing w:before="120" w:after="0"/>
        <w:rPr>
          <w:sz w:val="18"/>
          <w:szCs w:val="18"/>
        </w:rPr>
      </w:pPr>
      <w:bookmarkStart w:id="62" w:name="_Toc53379896"/>
      <w:r w:rsidRPr="00CF2B7B">
        <w:rPr>
          <w:color w:val="121F6B"/>
          <w:sz w:val="36"/>
          <w:szCs w:val="20"/>
        </w:rPr>
        <w:t xml:space="preserve">Appendix </w:t>
      </w:r>
      <w:r>
        <w:rPr>
          <w:color w:val="121F6B"/>
          <w:sz w:val="36"/>
          <w:szCs w:val="20"/>
        </w:rPr>
        <w:t>4</w:t>
      </w:r>
      <w:r w:rsidRPr="00CF2B7B">
        <w:rPr>
          <w:color w:val="121F6B"/>
          <w:sz w:val="36"/>
          <w:szCs w:val="20"/>
        </w:rPr>
        <w:t xml:space="preserve"> - NZSL Board Briefing to the Incoming Minister</w:t>
      </w:r>
      <w:bookmarkEnd w:id="62"/>
      <w:r w:rsidRPr="00977534">
        <w:rPr>
          <w:sz w:val="36"/>
        </w:rPr>
        <w:t xml:space="preserve"> </w:t>
      </w:r>
      <w:r>
        <w:tab/>
      </w:r>
    </w:p>
    <w:p w14:paraId="57244730" w14:textId="77777777" w:rsidR="00DB427A" w:rsidRPr="00F32F61" w:rsidRDefault="00DB427A" w:rsidP="00DB427A">
      <w:pPr>
        <w:spacing w:line="240" w:lineRule="auto"/>
        <w:jc w:val="right"/>
        <w:rPr>
          <w:b/>
          <w:lang w:val="mi-NZ"/>
        </w:rPr>
      </w:pPr>
      <w:r w:rsidRPr="00F32F61">
        <w:rPr>
          <w:b/>
          <w:sz w:val="18"/>
          <w:szCs w:val="18"/>
          <w:lang w:val="en-NZ"/>
        </w:rPr>
        <w:t>August 2020</w:t>
      </w:r>
    </w:p>
    <w:p w14:paraId="25CBF380" w14:textId="77777777" w:rsidR="00DB427A" w:rsidRDefault="00DB427A" w:rsidP="00DB427A">
      <w:pPr>
        <w:rPr>
          <w:lang w:val="mi-NZ"/>
        </w:rPr>
      </w:pPr>
      <w:r>
        <w:rPr>
          <w:noProof/>
          <w:lang w:val="mi-NZ"/>
        </w:rPr>
        <mc:AlternateContent>
          <mc:Choice Requires="wps">
            <w:drawing>
              <wp:inline distT="0" distB="0" distL="0" distR="0" wp14:anchorId="4EE9AF81" wp14:editId="75FEBDBA">
                <wp:extent cx="5603443" cy="1404519"/>
                <wp:effectExtent l="0" t="0" r="16510" b="24765"/>
                <wp:docPr id="3" name="Rectangle: Rounded Corners 3"/>
                <wp:cNvGraphicFramePr/>
                <a:graphic xmlns:a="http://schemas.openxmlformats.org/drawingml/2006/main">
                  <a:graphicData uri="http://schemas.microsoft.com/office/word/2010/wordprocessingShape">
                    <wps:wsp>
                      <wps:cNvSpPr/>
                      <wps:spPr>
                        <a:xfrm>
                          <a:off x="0" y="0"/>
                          <a:ext cx="5603443" cy="140451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C29476A" w14:textId="77777777" w:rsidR="00E5040F" w:rsidRPr="00624AE6" w:rsidRDefault="00E5040F" w:rsidP="00DB427A">
                            <w:pPr>
                              <w:spacing w:after="80"/>
                              <w:rPr>
                                <w:b/>
                                <w:szCs w:val="22"/>
                                <w:lang w:val="mi-NZ"/>
                              </w:rPr>
                            </w:pPr>
                            <w:r w:rsidRPr="00624AE6">
                              <w:rPr>
                                <w:b/>
                                <w:szCs w:val="22"/>
                                <w:lang w:val="mi-NZ"/>
                              </w:rPr>
                              <w:t>Who are we</w:t>
                            </w:r>
                          </w:p>
                          <w:p w14:paraId="66A58D0A" w14:textId="77777777" w:rsidR="00E5040F" w:rsidRPr="00835411" w:rsidRDefault="00E5040F" w:rsidP="00DB427A">
                            <w:pPr>
                              <w:rPr>
                                <w:sz w:val="20"/>
                                <w:lang w:val="mi-NZ"/>
                              </w:rPr>
                            </w:pPr>
                            <w:r w:rsidRPr="00835411">
                              <w:rPr>
                                <w:sz w:val="20"/>
                                <w:lang w:val="mi-NZ"/>
                              </w:rPr>
                              <w:t xml:space="preserve">The New Zealand Sign Language Board was established in 2015 as a Government Advisory Board to provide monitoring, leadership, advice and co-ordination on the maintenance and promotion of NZSL. </w:t>
                            </w:r>
                            <w:r w:rsidRPr="00835411">
                              <w:rPr>
                                <w:sz w:val="20"/>
                                <w:lang w:val="mi-NZ"/>
                              </w:rPr>
                              <w:t>Current membership of the NZSL Board is:</w:t>
                            </w:r>
                            <w:r>
                              <w:rPr>
                                <w:sz w:val="20"/>
                                <w:lang w:val="mi-NZ"/>
                              </w:rPr>
                              <w:t xml:space="preserve"> </w:t>
                            </w:r>
                            <w:r w:rsidRPr="00835411">
                              <w:rPr>
                                <w:sz w:val="20"/>
                              </w:rPr>
                              <w:t>Rhian Yates (Chair)</w:t>
                            </w:r>
                            <w:r>
                              <w:rPr>
                                <w:sz w:val="20"/>
                                <w:lang w:val="mi-NZ"/>
                              </w:rPr>
                              <w:t xml:space="preserve">, </w:t>
                            </w:r>
                            <w:r w:rsidRPr="00835411">
                              <w:rPr>
                                <w:sz w:val="20"/>
                              </w:rPr>
                              <w:t>Catherine Greenwood (Deputy Chair)</w:t>
                            </w:r>
                            <w:r>
                              <w:rPr>
                                <w:sz w:val="20"/>
                              </w:rPr>
                              <w:t xml:space="preserve">, </w:t>
                            </w:r>
                            <w:r w:rsidRPr="00835411">
                              <w:rPr>
                                <w:sz w:val="20"/>
                              </w:rPr>
                              <w:t>David Brown</w:t>
                            </w:r>
                            <w:r>
                              <w:rPr>
                                <w:sz w:val="20"/>
                                <w:lang w:val="mi-NZ"/>
                              </w:rPr>
                              <w:t xml:space="preserve">, </w:t>
                            </w:r>
                            <w:r w:rsidRPr="00835411">
                              <w:rPr>
                                <w:sz w:val="20"/>
                              </w:rPr>
                              <w:t>Natasha Cloete</w:t>
                            </w:r>
                            <w:r>
                              <w:rPr>
                                <w:sz w:val="20"/>
                                <w:lang w:val="mi-NZ"/>
                              </w:rPr>
                              <w:t xml:space="preserve">, </w:t>
                            </w:r>
                            <w:r w:rsidRPr="00835411">
                              <w:rPr>
                                <w:sz w:val="20"/>
                              </w:rPr>
                              <w:t>Angela Sew Hoy</w:t>
                            </w:r>
                            <w:r>
                              <w:rPr>
                                <w:sz w:val="20"/>
                                <w:lang w:val="mi-NZ"/>
                              </w:rPr>
                              <w:t xml:space="preserve">, </w:t>
                            </w:r>
                            <w:proofErr w:type="spellStart"/>
                            <w:r w:rsidRPr="00835411">
                              <w:rPr>
                                <w:sz w:val="20"/>
                              </w:rPr>
                              <w:t>Haamiora</w:t>
                            </w:r>
                            <w:proofErr w:type="spellEnd"/>
                            <w:r w:rsidRPr="00835411">
                              <w:rPr>
                                <w:sz w:val="20"/>
                              </w:rPr>
                              <w:t xml:space="preserve"> Sam </w:t>
                            </w:r>
                            <w:proofErr w:type="spellStart"/>
                            <w:r w:rsidRPr="00835411">
                              <w:rPr>
                                <w:sz w:val="20"/>
                              </w:rPr>
                              <w:t>TeMaari</w:t>
                            </w:r>
                            <w:proofErr w:type="spellEnd"/>
                            <w:r>
                              <w:rPr>
                                <w:sz w:val="20"/>
                                <w:lang w:val="mi-NZ"/>
                              </w:rPr>
                              <w:t xml:space="preserve"> and </w:t>
                            </w:r>
                            <w:r w:rsidRPr="00835411">
                              <w:rPr>
                                <w:sz w:val="20"/>
                              </w:rPr>
                              <w:t>Rachel Turner</w:t>
                            </w:r>
                            <w:r>
                              <w:rPr>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EE9AF81" id="Rectangle: Rounded Corners 3" o:spid="_x0000_s1026" style="width:441.2pt;height:110.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" fillcolor="white [3201]" strokecolor="black [3200]" strokeweight="2pt">
                <v:textbox>
                  <w:txbxContent>
                    <w:p w14:paraId="4C29476A" w14:textId="77777777" w:rsidR="00E5040F" w:rsidRPr="00624AE6" w:rsidRDefault="00E5040F" w:rsidP="00DB427A">
                      <w:pPr>
                        <w:spacing w:after="80"/>
                        <w:rPr>
                          <w:b/>
                          <w:szCs w:val="22"/>
                          <w:lang w:val="mi-NZ"/>
                        </w:rPr>
                      </w:pPr>
                      <w:r w:rsidRPr="00624AE6">
                        <w:rPr>
                          <w:b/>
                          <w:szCs w:val="22"/>
                          <w:lang w:val="mi-NZ"/>
                        </w:rPr>
                        <w:t>Who are we</w:t>
                      </w:r>
                    </w:p>
                    <w:p w14:paraId="66A58D0A" w14:textId="77777777" w:rsidR="00E5040F" w:rsidRPr="00835411" w:rsidRDefault="00E5040F" w:rsidP="00DB427A">
                      <w:pPr>
                        <w:rPr>
                          <w:sz w:val="20"/>
                          <w:lang w:val="mi-NZ"/>
                        </w:rPr>
                      </w:pPr>
                      <w:r w:rsidRPr="00835411">
                        <w:rPr>
                          <w:sz w:val="20"/>
                          <w:lang w:val="mi-NZ"/>
                        </w:rPr>
                        <w:t xml:space="preserve">The New Zealand Sign Language Board was established in 2015 as a Government Advisory Board to provide monitoring, leadership, advice and co-ordination on the maintenance and promotion of NZSL. </w:t>
                      </w:r>
                      <w:r w:rsidRPr="00835411">
                        <w:rPr>
                          <w:sz w:val="20"/>
                          <w:lang w:val="mi-NZ"/>
                        </w:rPr>
                        <w:t>Current membership of the NZSL Board is:</w:t>
                      </w:r>
                      <w:r>
                        <w:rPr>
                          <w:sz w:val="20"/>
                          <w:lang w:val="mi-NZ"/>
                        </w:rPr>
                        <w:t xml:space="preserve"> </w:t>
                      </w:r>
                      <w:r w:rsidRPr="00835411">
                        <w:rPr>
                          <w:sz w:val="20"/>
                        </w:rPr>
                        <w:t>Rhian Yates (Chair)</w:t>
                      </w:r>
                      <w:r>
                        <w:rPr>
                          <w:sz w:val="20"/>
                          <w:lang w:val="mi-NZ"/>
                        </w:rPr>
                        <w:t xml:space="preserve">, </w:t>
                      </w:r>
                      <w:r w:rsidRPr="00835411">
                        <w:rPr>
                          <w:sz w:val="20"/>
                        </w:rPr>
                        <w:t>Catherine Greenwood (Deputy Chair)</w:t>
                      </w:r>
                      <w:r>
                        <w:rPr>
                          <w:sz w:val="20"/>
                        </w:rPr>
                        <w:t xml:space="preserve">, </w:t>
                      </w:r>
                      <w:r w:rsidRPr="00835411">
                        <w:rPr>
                          <w:sz w:val="20"/>
                        </w:rPr>
                        <w:t>David Brown</w:t>
                      </w:r>
                      <w:r>
                        <w:rPr>
                          <w:sz w:val="20"/>
                          <w:lang w:val="mi-NZ"/>
                        </w:rPr>
                        <w:t xml:space="preserve">, </w:t>
                      </w:r>
                      <w:r w:rsidRPr="00835411">
                        <w:rPr>
                          <w:sz w:val="20"/>
                        </w:rPr>
                        <w:t>Natasha Cloete</w:t>
                      </w:r>
                      <w:r>
                        <w:rPr>
                          <w:sz w:val="20"/>
                          <w:lang w:val="mi-NZ"/>
                        </w:rPr>
                        <w:t xml:space="preserve">, </w:t>
                      </w:r>
                      <w:r w:rsidRPr="00835411">
                        <w:rPr>
                          <w:sz w:val="20"/>
                        </w:rPr>
                        <w:t>Angela Sew Hoy</w:t>
                      </w:r>
                      <w:r>
                        <w:rPr>
                          <w:sz w:val="20"/>
                          <w:lang w:val="mi-NZ"/>
                        </w:rPr>
                        <w:t xml:space="preserve">, </w:t>
                      </w:r>
                      <w:proofErr w:type="spellStart"/>
                      <w:r w:rsidRPr="00835411">
                        <w:rPr>
                          <w:sz w:val="20"/>
                        </w:rPr>
                        <w:t>Haamiora</w:t>
                      </w:r>
                      <w:proofErr w:type="spellEnd"/>
                      <w:r w:rsidRPr="00835411">
                        <w:rPr>
                          <w:sz w:val="20"/>
                        </w:rPr>
                        <w:t xml:space="preserve"> Sam </w:t>
                      </w:r>
                      <w:proofErr w:type="spellStart"/>
                      <w:r w:rsidRPr="00835411">
                        <w:rPr>
                          <w:sz w:val="20"/>
                        </w:rPr>
                        <w:t>TeMaari</w:t>
                      </w:r>
                      <w:proofErr w:type="spellEnd"/>
                      <w:r>
                        <w:rPr>
                          <w:sz w:val="20"/>
                          <w:lang w:val="mi-NZ"/>
                        </w:rPr>
                        <w:t xml:space="preserve"> and </w:t>
                      </w:r>
                      <w:r w:rsidRPr="00835411">
                        <w:rPr>
                          <w:sz w:val="20"/>
                        </w:rPr>
                        <w:t>Rachel Turner</w:t>
                      </w:r>
                      <w:r>
                        <w:rPr>
                          <w:sz w:val="20"/>
                        </w:rPr>
                        <w:t>.</w:t>
                      </w:r>
                    </w:p>
                  </w:txbxContent>
                </v:textbox>
                <w10:anchorlock/>
              </v:roundrect>
            </w:pict>
          </mc:Fallback>
        </mc:AlternateContent>
      </w:r>
    </w:p>
    <w:p w14:paraId="1C494108" w14:textId="77777777" w:rsidR="00DB427A" w:rsidRDefault="00DB427A" w:rsidP="00DB427A">
      <w:pPr>
        <w:rPr>
          <w:lang w:val="mi-NZ"/>
        </w:rPr>
      </w:pPr>
      <w:r>
        <w:rPr>
          <w:noProof/>
          <w:lang w:val="mi-NZ"/>
        </w:rPr>
        <mc:AlternateContent>
          <mc:Choice Requires="wps">
            <w:drawing>
              <wp:inline distT="0" distB="0" distL="0" distR="0" wp14:anchorId="48C18EEB" wp14:editId="44949B12">
                <wp:extent cx="5632704" cy="2516429"/>
                <wp:effectExtent l="0" t="0" r="25400" b="17780"/>
                <wp:docPr id="5" name="Rectangle: Rounded Corners 5"/>
                <wp:cNvGraphicFramePr/>
                <a:graphic xmlns:a="http://schemas.openxmlformats.org/drawingml/2006/main">
                  <a:graphicData uri="http://schemas.microsoft.com/office/word/2010/wordprocessingShape">
                    <wps:wsp>
                      <wps:cNvSpPr/>
                      <wps:spPr>
                        <a:xfrm>
                          <a:off x="0" y="0"/>
                          <a:ext cx="5632704" cy="2516429"/>
                        </a:xfrm>
                        <a:prstGeom prst="roundRect">
                          <a:avLst/>
                        </a:prstGeom>
                        <a:ln>
                          <a:solidFill>
                            <a:srgbClr val="008EA1"/>
                          </a:solidFill>
                        </a:ln>
                      </wps:spPr>
                      <wps:style>
                        <a:lnRef idx="2">
                          <a:schemeClr val="accent1"/>
                        </a:lnRef>
                        <a:fillRef idx="1">
                          <a:schemeClr val="lt1"/>
                        </a:fillRef>
                        <a:effectRef idx="0">
                          <a:schemeClr val="accent1"/>
                        </a:effectRef>
                        <a:fontRef idx="minor">
                          <a:schemeClr val="dk1"/>
                        </a:fontRef>
                      </wps:style>
                      <wps:txbx>
                        <w:txbxContent>
                          <w:p w14:paraId="7820A92C" w14:textId="77777777" w:rsidR="00E5040F" w:rsidRPr="00624AE6" w:rsidRDefault="00E5040F" w:rsidP="00DB427A">
                            <w:pPr>
                              <w:spacing w:after="80"/>
                              <w:rPr>
                                <w:b/>
                                <w:szCs w:val="22"/>
                                <w:lang w:val="mi-NZ"/>
                              </w:rPr>
                            </w:pPr>
                            <w:r w:rsidRPr="00624AE6">
                              <w:rPr>
                                <w:b/>
                                <w:szCs w:val="22"/>
                                <w:lang w:val="mi-NZ"/>
                              </w:rPr>
                              <w:t>Our role</w:t>
                            </w:r>
                          </w:p>
                          <w:p w14:paraId="1806F672" w14:textId="77777777" w:rsidR="00E5040F" w:rsidRPr="00835411" w:rsidRDefault="00E5040F" w:rsidP="00DB427A">
                            <w:pPr>
                              <w:ind w:right="-144"/>
                              <w:rPr>
                                <w:sz w:val="20"/>
                                <w:lang w:val="mi-NZ"/>
                              </w:rPr>
                            </w:pPr>
                            <w:r w:rsidRPr="00835411">
                              <w:rPr>
                                <w:sz w:val="20"/>
                                <w:lang w:val="mi-NZ"/>
                              </w:rPr>
                              <w:t>We are the caretakers of the NZSL Strategy (2018-2023), adopted by Government in September 2018. The Strategy is based on internati</w:t>
                            </w:r>
                            <w:r>
                              <w:rPr>
                                <w:sz w:val="20"/>
                                <w:lang w:val="mi-NZ"/>
                              </w:rPr>
                              <w:t>o</w:t>
                            </w:r>
                            <w:r w:rsidRPr="00835411">
                              <w:rPr>
                                <w:sz w:val="20"/>
                                <w:lang w:val="mi-NZ"/>
                              </w:rPr>
                              <w:t>nal language planning principles, identifying priorities to maintian and promote NZSL as a vulnerable language.</w:t>
                            </w:r>
                          </w:p>
                          <w:p w14:paraId="5E2937D2" w14:textId="77777777" w:rsidR="00E5040F" w:rsidRPr="00835411" w:rsidRDefault="00E5040F" w:rsidP="00DB427A">
                            <w:pPr>
                              <w:ind w:right="-144"/>
                              <w:rPr>
                                <w:sz w:val="20"/>
                                <w:lang w:val="mi-NZ"/>
                              </w:rPr>
                            </w:pPr>
                            <w:r w:rsidRPr="00835411">
                              <w:rPr>
                                <w:sz w:val="20"/>
                                <w:lang w:val="mi-NZ"/>
                              </w:rPr>
                              <w:t xml:space="preserve">Data gathering and regular reporting are essential for monitoring progress against the Strategies priorities: </w:t>
                            </w:r>
                            <w:r w:rsidRPr="00835411">
                              <w:rPr>
                                <w:b/>
                                <w:sz w:val="20"/>
                                <w:lang w:val="mi-NZ"/>
                              </w:rPr>
                              <w:t>Acquisition, Use/Access, Attitude, Documentation, Status</w:t>
                            </w:r>
                            <w:r w:rsidRPr="00835411">
                              <w:rPr>
                                <w:sz w:val="20"/>
                                <w:lang w:val="mi-NZ"/>
                              </w:rPr>
                              <w:t>. Draft indicators will be discussed by the end of 2020 with key Government agencies who have the largest potential to promote and maintain NZSL. These are the Ministry of Education, Ministry of Justice, Ministry of Health and Ministry for Social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8C18EEB" id="Rectangle: Rounded Corners 5" o:spid="_x0000_s1027" style="width:443.5pt;height:198.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" fillcolor="white [3201]" strokecolor="#008ea1" strokeweight="2pt">
                <v:textbox>
                  <w:txbxContent>
                    <w:p w14:paraId="7820A92C" w14:textId="77777777" w:rsidR="00E5040F" w:rsidRPr="00624AE6" w:rsidRDefault="00E5040F" w:rsidP="00DB427A">
                      <w:pPr>
                        <w:spacing w:after="80"/>
                        <w:rPr>
                          <w:b/>
                          <w:szCs w:val="22"/>
                          <w:lang w:val="mi-NZ"/>
                        </w:rPr>
                      </w:pPr>
                      <w:r w:rsidRPr="00624AE6">
                        <w:rPr>
                          <w:b/>
                          <w:szCs w:val="22"/>
                          <w:lang w:val="mi-NZ"/>
                        </w:rPr>
                        <w:t>Our role</w:t>
                      </w:r>
                    </w:p>
                    <w:p w14:paraId="1806F672" w14:textId="77777777" w:rsidR="00E5040F" w:rsidRPr="00835411" w:rsidRDefault="00E5040F" w:rsidP="00DB427A">
                      <w:pPr>
                        <w:ind w:right="-144"/>
                        <w:rPr>
                          <w:sz w:val="20"/>
                          <w:lang w:val="mi-NZ"/>
                        </w:rPr>
                      </w:pPr>
                      <w:r w:rsidRPr="00835411">
                        <w:rPr>
                          <w:sz w:val="20"/>
                          <w:lang w:val="mi-NZ"/>
                        </w:rPr>
                        <w:t>We are the caretakers of the NZSL Strategy (2018-2023), adopted by Government in September 2018. The Strategy is based on internati</w:t>
                      </w:r>
                      <w:r>
                        <w:rPr>
                          <w:sz w:val="20"/>
                          <w:lang w:val="mi-NZ"/>
                        </w:rPr>
                        <w:t>o</w:t>
                      </w:r>
                      <w:r w:rsidRPr="00835411">
                        <w:rPr>
                          <w:sz w:val="20"/>
                          <w:lang w:val="mi-NZ"/>
                        </w:rPr>
                        <w:t>nal language planning principles, identifying priorities to maintian and promote NZSL as a vulnerable language.</w:t>
                      </w:r>
                    </w:p>
                    <w:p w14:paraId="5E2937D2" w14:textId="77777777" w:rsidR="00E5040F" w:rsidRPr="00835411" w:rsidRDefault="00E5040F" w:rsidP="00DB427A">
                      <w:pPr>
                        <w:ind w:right="-144"/>
                        <w:rPr>
                          <w:sz w:val="20"/>
                          <w:lang w:val="mi-NZ"/>
                        </w:rPr>
                      </w:pPr>
                      <w:r w:rsidRPr="00835411">
                        <w:rPr>
                          <w:sz w:val="20"/>
                          <w:lang w:val="mi-NZ"/>
                        </w:rPr>
                        <w:t xml:space="preserve">Data gathering and regular reporting are essential for monitoring progress against the Strategies priorities: </w:t>
                      </w:r>
                      <w:r w:rsidRPr="00835411">
                        <w:rPr>
                          <w:b/>
                          <w:sz w:val="20"/>
                          <w:lang w:val="mi-NZ"/>
                        </w:rPr>
                        <w:t>Acquisition, Use/Access, Attitude, Documentation, Status</w:t>
                      </w:r>
                      <w:r w:rsidRPr="00835411">
                        <w:rPr>
                          <w:sz w:val="20"/>
                          <w:lang w:val="mi-NZ"/>
                        </w:rPr>
                        <w:t>. Draft indicators will be discussed by the end of 2020 with key Government agencies who have the largest potential to promote and maintain NZSL. These are the Ministry of Education, Ministry of Justice, Ministry of Health and Ministry for Social Development.</w:t>
                      </w:r>
                    </w:p>
                  </w:txbxContent>
                </v:textbox>
                <w10:anchorlock/>
              </v:roundrect>
            </w:pict>
          </mc:Fallback>
        </mc:AlternateContent>
      </w:r>
    </w:p>
    <w:p w14:paraId="415086FB" w14:textId="77777777" w:rsidR="00DB427A" w:rsidRDefault="00DB427A" w:rsidP="00DB427A">
      <w:pPr>
        <w:rPr>
          <w:lang w:val="mi-NZ"/>
        </w:rPr>
      </w:pPr>
      <w:r>
        <w:rPr>
          <w:noProof/>
          <w:lang w:val="mi-NZ"/>
        </w:rPr>
        <w:lastRenderedPageBreak/>
        <mc:AlternateContent>
          <mc:Choice Requires="wps">
            <w:drawing>
              <wp:inline distT="0" distB="0" distL="0" distR="0" wp14:anchorId="140DE93E" wp14:editId="74B9B1FB">
                <wp:extent cx="5661965" cy="2509113"/>
                <wp:effectExtent l="0" t="0" r="15240" b="24765"/>
                <wp:docPr id="7" name="Rectangle: Rounded Corners 7"/>
                <wp:cNvGraphicFramePr/>
                <a:graphic xmlns:a="http://schemas.openxmlformats.org/drawingml/2006/main">
                  <a:graphicData uri="http://schemas.microsoft.com/office/word/2010/wordprocessingShape">
                    <wps:wsp>
                      <wps:cNvSpPr/>
                      <wps:spPr>
                        <a:xfrm>
                          <a:off x="0" y="0"/>
                          <a:ext cx="5661965" cy="2509113"/>
                        </a:xfrm>
                        <a:prstGeom prst="roundRect">
                          <a:avLst/>
                        </a:prstGeom>
                        <a:noFill/>
                        <a:ln>
                          <a:solidFill>
                            <a:srgbClr val="C78C1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4F6D45" w14:textId="77777777" w:rsidR="00E5040F" w:rsidRPr="00624AE6" w:rsidRDefault="00E5040F" w:rsidP="00DB427A">
                            <w:pPr>
                              <w:spacing w:after="80"/>
                              <w:ind w:right="-40"/>
                              <w:rPr>
                                <w:b/>
                                <w:color w:val="000000" w:themeColor="text1"/>
                                <w:szCs w:val="22"/>
                                <w:lang w:val="mi-NZ"/>
                              </w:rPr>
                            </w:pPr>
                            <w:r w:rsidRPr="00624AE6">
                              <w:rPr>
                                <w:b/>
                                <w:color w:val="000000" w:themeColor="text1"/>
                                <w:szCs w:val="22"/>
                                <w:lang w:val="mi-NZ"/>
                              </w:rPr>
                              <w:t>What’s important to us</w:t>
                            </w:r>
                          </w:p>
                          <w:p w14:paraId="781FE52D" w14:textId="77777777" w:rsidR="00E5040F" w:rsidRPr="00835411" w:rsidRDefault="00E5040F" w:rsidP="00DB427A">
                            <w:pPr>
                              <w:ind w:right="-39"/>
                              <w:rPr>
                                <w:color w:val="000000" w:themeColor="text1"/>
                                <w:sz w:val="20"/>
                                <w:lang w:val="mi-NZ"/>
                              </w:rPr>
                            </w:pPr>
                            <w:r w:rsidRPr="00835411">
                              <w:rPr>
                                <w:color w:val="000000" w:themeColor="text1"/>
                                <w:sz w:val="20"/>
                                <w:lang w:val="mi-NZ"/>
                              </w:rPr>
                              <w:t>The NZSL Board priorities that involve working with Government agencies, include:</w:t>
                            </w:r>
                          </w:p>
                          <w:p w14:paraId="7AA7EBF3" w14:textId="77777777" w:rsidR="00E5040F" w:rsidRPr="00835411" w:rsidRDefault="00E5040F" w:rsidP="00DB427A">
                            <w:pPr>
                              <w:pStyle w:val="ListParagraph"/>
                              <w:numPr>
                                <w:ilvl w:val="0"/>
                                <w:numId w:val="7"/>
                              </w:numPr>
                              <w:ind w:left="142" w:right="-39" w:hanging="284"/>
                              <w:rPr>
                                <w:color w:val="000000" w:themeColor="text1"/>
                                <w:sz w:val="20"/>
                                <w:lang w:val="mi-NZ"/>
                              </w:rPr>
                            </w:pPr>
                            <w:r w:rsidRPr="00835411">
                              <w:rPr>
                                <w:color w:val="000000" w:themeColor="text1"/>
                                <w:sz w:val="20"/>
                                <w:lang w:val="mi-NZ"/>
                              </w:rPr>
                              <w:t>Access to education in NZSL and opportunties for Deaf children to learn and use NZSL with their peers.</w:t>
                            </w:r>
                          </w:p>
                          <w:p w14:paraId="1713CC2E" w14:textId="77777777" w:rsidR="00E5040F" w:rsidRPr="00835411" w:rsidRDefault="00E5040F" w:rsidP="00DB427A">
                            <w:pPr>
                              <w:pStyle w:val="ListParagraph"/>
                              <w:numPr>
                                <w:ilvl w:val="0"/>
                                <w:numId w:val="7"/>
                              </w:numPr>
                              <w:ind w:left="142" w:right="-39" w:hanging="284"/>
                              <w:rPr>
                                <w:color w:val="000000" w:themeColor="text1"/>
                                <w:sz w:val="20"/>
                                <w:lang w:val="mi-NZ"/>
                              </w:rPr>
                            </w:pPr>
                            <w:r w:rsidRPr="00835411">
                              <w:rPr>
                                <w:color w:val="000000" w:themeColor="text1"/>
                                <w:sz w:val="20"/>
                                <w:lang w:val="mi-NZ"/>
                              </w:rPr>
                              <w:t>Access to Te Ao Māori for Māori Deaf to engage as Tangata Whenua alongside their whanaū, hapu and iwi.</w:t>
                            </w:r>
                          </w:p>
                          <w:p w14:paraId="6D8CC0C6" w14:textId="77777777" w:rsidR="00E5040F" w:rsidRPr="00835411" w:rsidRDefault="00E5040F" w:rsidP="00DB427A">
                            <w:pPr>
                              <w:pStyle w:val="ListParagraph"/>
                              <w:numPr>
                                <w:ilvl w:val="0"/>
                                <w:numId w:val="7"/>
                              </w:numPr>
                              <w:ind w:left="142" w:right="-252" w:hanging="284"/>
                              <w:rPr>
                                <w:color w:val="000000" w:themeColor="text1"/>
                                <w:sz w:val="20"/>
                                <w:lang w:val="mi-NZ"/>
                              </w:rPr>
                            </w:pPr>
                            <w:r w:rsidRPr="00835411">
                              <w:rPr>
                                <w:color w:val="000000" w:themeColor="text1"/>
                                <w:sz w:val="20"/>
                                <w:lang w:val="mi-NZ"/>
                              </w:rPr>
                              <w:t xml:space="preserve">Determing the effectiveness of the </w:t>
                            </w:r>
                            <w:r w:rsidRPr="00835411">
                              <w:rPr>
                                <w:b/>
                                <w:color w:val="000000" w:themeColor="text1"/>
                                <w:sz w:val="20"/>
                                <w:lang w:val="mi-NZ"/>
                              </w:rPr>
                              <w:t>NZSL Act 2006</w:t>
                            </w:r>
                            <w:r w:rsidRPr="00835411">
                              <w:rPr>
                                <w:color w:val="000000" w:themeColor="text1"/>
                                <w:sz w:val="20"/>
                                <w:lang w:val="mi-NZ"/>
                              </w:rPr>
                              <w:t xml:space="preserve"> to maintain and promote NZSL. Idenfiying ways to alig</w:t>
                            </w:r>
                            <w:r>
                              <w:rPr>
                                <w:color w:val="000000" w:themeColor="text1"/>
                                <w:sz w:val="20"/>
                                <w:lang w:val="mi-NZ"/>
                              </w:rPr>
                              <w:t>n</w:t>
                            </w:r>
                            <w:r w:rsidRPr="00835411">
                              <w:rPr>
                                <w:color w:val="000000" w:themeColor="text1"/>
                                <w:sz w:val="20"/>
                                <w:lang w:val="mi-NZ"/>
                              </w:rPr>
                              <w:t xml:space="preserve"> the Act with the Strategy could enhance the daily experiences of NZSL users, while increasing recognition of the language and increased accessbility to public sector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40DE93E" id="Rectangle: Rounded Corners 7" o:spid="_x0000_s1028" style="width:445.8pt;height:197.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" filled="f" strokecolor="#c78c11" strokeweight="2pt">
                <v:textbox>
                  <w:txbxContent>
                    <w:p w14:paraId="6E4F6D45" w14:textId="77777777" w:rsidR="00E5040F" w:rsidRPr="00624AE6" w:rsidRDefault="00E5040F" w:rsidP="00DB427A">
                      <w:pPr>
                        <w:spacing w:after="80"/>
                        <w:ind w:right="-40"/>
                        <w:rPr>
                          <w:b/>
                          <w:color w:val="000000" w:themeColor="text1"/>
                          <w:szCs w:val="22"/>
                          <w:lang w:val="mi-NZ"/>
                        </w:rPr>
                      </w:pPr>
                      <w:r w:rsidRPr="00624AE6">
                        <w:rPr>
                          <w:b/>
                          <w:color w:val="000000" w:themeColor="text1"/>
                          <w:szCs w:val="22"/>
                          <w:lang w:val="mi-NZ"/>
                        </w:rPr>
                        <w:t>What’s important to us</w:t>
                      </w:r>
                    </w:p>
                    <w:p w14:paraId="781FE52D" w14:textId="77777777" w:rsidR="00E5040F" w:rsidRPr="00835411" w:rsidRDefault="00E5040F" w:rsidP="00DB427A">
                      <w:pPr>
                        <w:ind w:right="-39"/>
                        <w:rPr>
                          <w:color w:val="000000" w:themeColor="text1"/>
                          <w:sz w:val="20"/>
                          <w:lang w:val="mi-NZ"/>
                        </w:rPr>
                      </w:pPr>
                      <w:r w:rsidRPr="00835411">
                        <w:rPr>
                          <w:color w:val="000000" w:themeColor="text1"/>
                          <w:sz w:val="20"/>
                          <w:lang w:val="mi-NZ"/>
                        </w:rPr>
                        <w:t>The NZSL Board priorities that involve working with Government agencies, include:</w:t>
                      </w:r>
                    </w:p>
                    <w:p w14:paraId="7AA7EBF3" w14:textId="77777777" w:rsidR="00E5040F" w:rsidRPr="00835411" w:rsidRDefault="00E5040F" w:rsidP="00DB427A">
                      <w:pPr>
                        <w:pStyle w:val="ListParagraph"/>
                        <w:numPr>
                          <w:ilvl w:val="0"/>
                          <w:numId w:val="7"/>
                        </w:numPr>
                        <w:ind w:left="142" w:right="-39" w:hanging="284"/>
                        <w:rPr>
                          <w:color w:val="000000" w:themeColor="text1"/>
                          <w:sz w:val="20"/>
                          <w:lang w:val="mi-NZ"/>
                        </w:rPr>
                      </w:pPr>
                      <w:r w:rsidRPr="00835411">
                        <w:rPr>
                          <w:color w:val="000000" w:themeColor="text1"/>
                          <w:sz w:val="20"/>
                          <w:lang w:val="mi-NZ"/>
                        </w:rPr>
                        <w:t>Access to education in NZSL and opportunties for Deaf children to learn and use NZSL with their peers.</w:t>
                      </w:r>
                    </w:p>
                    <w:p w14:paraId="1713CC2E" w14:textId="77777777" w:rsidR="00E5040F" w:rsidRPr="00835411" w:rsidRDefault="00E5040F" w:rsidP="00DB427A">
                      <w:pPr>
                        <w:pStyle w:val="ListParagraph"/>
                        <w:numPr>
                          <w:ilvl w:val="0"/>
                          <w:numId w:val="7"/>
                        </w:numPr>
                        <w:ind w:left="142" w:right="-39" w:hanging="284"/>
                        <w:rPr>
                          <w:color w:val="000000" w:themeColor="text1"/>
                          <w:sz w:val="20"/>
                          <w:lang w:val="mi-NZ"/>
                        </w:rPr>
                      </w:pPr>
                      <w:r w:rsidRPr="00835411">
                        <w:rPr>
                          <w:color w:val="000000" w:themeColor="text1"/>
                          <w:sz w:val="20"/>
                          <w:lang w:val="mi-NZ"/>
                        </w:rPr>
                        <w:t>Access to Te Ao Māori for Māori Deaf to engage as Tangata Whenua alongside their whanaū, hapu and iwi.</w:t>
                      </w:r>
                    </w:p>
                    <w:p w14:paraId="6D8CC0C6" w14:textId="77777777" w:rsidR="00E5040F" w:rsidRPr="00835411" w:rsidRDefault="00E5040F" w:rsidP="00DB427A">
                      <w:pPr>
                        <w:pStyle w:val="ListParagraph"/>
                        <w:numPr>
                          <w:ilvl w:val="0"/>
                          <w:numId w:val="7"/>
                        </w:numPr>
                        <w:ind w:left="142" w:right="-252" w:hanging="284"/>
                        <w:rPr>
                          <w:color w:val="000000" w:themeColor="text1"/>
                          <w:sz w:val="20"/>
                          <w:lang w:val="mi-NZ"/>
                        </w:rPr>
                      </w:pPr>
                      <w:r w:rsidRPr="00835411">
                        <w:rPr>
                          <w:color w:val="000000" w:themeColor="text1"/>
                          <w:sz w:val="20"/>
                          <w:lang w:val="mi-NZ"/>
                        </w:rPr>
                        <w:t xml:space="preserve">Determing the effectiveness of the </w:t>
                      </w:r>
                      <w:r w:rsidRPr="00835411">
                        <w:rPr>
                          <w:b/>
                          <w:color w:val="000000" w:themeColor="text1"/>
                          <w:sz w:val="20"/>
                          <w:lang w:val="mi-NZ"/>
                        </w:rPr>
                        <w:t>NZSL Act 2006</w:t>
                      </w:r>
                      <w:r w:rsidRPr="00835411">
                        <w:rPr>
                          <w:color w:val="000000" w:themeColor="text1"/>
                          <w:sz w:val="20"/>
                          <w:lang w:val="mi-NZ"/>
                        </w:rPr>
                        <w:t xml:space="preserve"> to maintain and promote NZSL. Idenfiying ways to alig</w:t>
                      </w:r>
                      <w:r>
                        <w:rPr>
                          <w:color w:val="000000" w:themeColor="text1"/>
                          <w:sz w:val="20"/>
                          <w:lang w:val="mi-NZ"/>
                        </w:rPr>
                        <w:t>n</w:t>
                      </w:r>
                      <w:r w:rsidRPr="00835411">
                        <w:rPr>
                          <w:color w:val="000000" w:themeColor="text1"/>
                          <w:sz w:val="20"/>
                          <w:lang w:val="mi-NZ"/>
                        </w:rPr>
                        <w:t xml:space="preserve"> the Act with the Strategy could enhance the daily experiences of NZSL users, while increasing recognition of the language and increased accessbility to public sector information.</w:t>
                      </w:r>
                    </w:p>
                  </w:txbxContent>
                </v:textbox>
                <w10:anchorlock/>
              </v:roundrect>
            </w:pict>
          </mc:Fallback>
        </mc:AlternateContent>
      </w:r>
    </w:p>
    <w:p w14:paraId="49571211" w14:textId="77777777" w:rsidR="00DB427A" w:rsidRDefault="00DB427A" w:rsidP="00DB427A">
      <w:pPr>
        <w:rPr>
          <w:lang w:val="mi-NZ"/>
        </w:rPr>
      </w:pPr>
      <w:r>
        <w:rPr>
          <w:noProof/>
          <w:lang w:val="mi-NZ"/>
        </w:rPr>
        <mc:AlternateContent>
          <mc:Choice Requires="wps">
            <w:drawing>
              <wp:inline distT="0" distB="0" distL="0" distR="0" wp14:anchorId="12EDEECF" wp14:editId="4CEF4228">
                <wp:extent cx="5698541" cy="526694"/>
                <wp:effectExtent l="0" t="0" r="16510" b="26035"/>
                <wp:docPr id="22" name="Rectangle: Rounded Corners 22"/>
                <wp:cNvGraphicFramePr/>
                <a:graphic xmlns:a="http://schemas.openxmlformats.org/drawingml/2006/main">
                  <a:graphicData uri="http://schemas.microsoft.com/office/word/2010/wordprocessingShape">
                    <wps:wsp>
                      <wps:cNvSpPr/>
                      <wps:spPr>
                        <a:xfrm>
                          <a:off x="0" y="0"/>
                          <a:ext cx="5698541" cy="526694"/>
                        </a:xfrm>
                        <a:prstGeom prst="roundRect">
                          <a:avLst/>
                        </a:prstGeom>
                        <a:noFill/>
                        <a:ln>
                          <a:solidFill>
                            <a:srgbClr val="63813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C5162" w14:textId="77777777" w:rsidR="00E5040F" w:rsidRPr="00835411" w:rsidRDefault="00E5040F" w:rsidP="00DB427A">
                            <w:pPr>
                              <w:ind w:right="-239"/>
                              <w:rPr>
                                <w:color w:val="000000" w:themeColor="text1"/>
                                <w:sz w:val="20"/>
                              </w:rPr>
                            </w:pPr>
                            <w:r w:rsidRPr="00835411">
                              <w:rPr>
                                <w:color w:val="000000" w:themeColor="text1"/>
                                <w:sz w:val="20"/>
                                <w:lang w:val="mi-NZ"/>
                              </w:rPr>
                              <w:t>We would appreciate your support to help us progress these priorities, especially with the Ministry of Education and Te Puni Kōkiri (Ministry for Māori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2EDEECF" id="Rectangle: Rounded Corners 22" o:spid="_x0000_s1029" style="width:448.7pt;height:41.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" filled="f" strokecolor="#638130" strokeweight="2pt">
                <v:textbox>
                  <w:txbxContent>
                    <w:p w14:paraId="4BCC5162" w14:textId="77777777" w:rsidR="00E5040F" w:rsidRPr="00835411" w:rsidRDefault="00E5040F" w:rsidP="00DB427A">
                      <w:pPr>
                        <w:ind w:right="-239"/>
                        <w:rPr>
                          <w:color w:val="000000" w:themeColor="text1"/>
                          <w:sz w:val="20"/>
                        </w:rPr>
                      </w:pPr>
                      <w:r w:rsidRPr="00835411">
                        <w:rPr>
                          <w:color w:val="000000" w:themeColor="text1"/>
                          <w:sz w:val="20"/>
                          <w:lang w:val="mi-NZ"/>
                        </w:rPr>
                        <w:t>We would appreciate your support to help us progress these priorities, especially with the Ministry of Education and Te Puni Kōkiri (Ministry for Māori Development).</w:t>
                      </w:r>
                    </w:p>
                  </w:txbxContent>
                </v:textbox>
                <w10:anchorlock/>
              </v:roundrect>
            </w:pict>
          </mc:Fallback>
        </mc:AlternateContent>
      </w:r>
      <w:bookmarkEnd w:id="61"/>
    </w:p>
    <w:p w14:paraId="2C5CE993" w14:textId="77777777" w:rsidR="00DB427A" w:rsidRPr="00977534" w:rsidRDefault="00DB427A" w:rsidP="00DB427A">
      <w:pPr>
        <w:pStyle w:val="Heading2"/>
        <w:framePr w:wrap="notBeside" w:vAnchor="text" w:hAnchor="text" w:y="1"/>
        <w:spacing w:before="240"/>
        <w:ind w:right="-329"/>
      </w:pPr>
      <w:r>
        <w:rPr>
          <w:lang w:val="mi-NZ"/>
        </w:rPr>
        <w:br w:type="page"/>
      </w:r>
      <w:bookmarkStart w:id="63" w:name="_Toc50988082"/>
      <w:bookmarkStart w:id="64" w:name="_Toc53379897"/>
      <w:r w:rsidRPr="00B23291">
        <w:rPr>
          <w:color w:val="121F6B"/>
          <w:sz w:val="36"/>
          <w:szCs w:val="20"/>
        </w:rPr>
        <w:t>Appendix</w:t>
      </w:r>
      <w:r w:rsidRPr="00142E9E">
        <w:rPr>
          <w:color w:val="121F6B"/>
          <w:sz w:val="36"/>
          <w:szCs w:val="20"/>
        </w:rPr>
        <w:t xml:space="preserve"> </w:t>
      </w:r>
      <w:r>
        <w:rPr>
          <w:color w:val="121F6B"/>
          <w:sz w:val="36"/>
          <w:szCs w:val="20"/>
        </w:rPr>
        <w:t>5</w:t>
      </w:r>
      <w:r w:rsidRPr="00142E9E">
        <w:rPr>
          <w:color w:val="121F6B"/>
          <w:sz w:val="36"/>
          <w:szCs w:val="20"/>
        </w:rPr>
        <w:t xml:space="preserve"> – </w:t>
      </w:r>
      <w:r>
        <w:rPr>
          <w:color w:val="121F6B"/>
          <w:sz w:val="36"/>
          <w:szCs w:val="20"/>
        </w:rPr>
        <w:t>Key d</w:t>
      </w:r>
      <w:r w:rsidRPr="00142E9E">
        <w:rPr>
          <w:color w:val="121F6B"/>
          <w:sz w:val="36"/>
          <w:szCs w:val="20"/>
        </w:rPr>
        <w:t>isability-related stakeholders</w:t>
      </w:r>
      <w:bookmarkEnd w:id="63"/>
      <w:bookmarkEnd w:id="64"/>
      <w:r w:rsidRPr="00142E9E">
        <w:rPr>
          <w:color w:val="121F6B"/>
          <w:sz w:val="36"/>
          <w:szCs w:val="20"/>
        </w:rPr>
        <w:t xml:space="preserve"> </w:t>
      </w:r>
    </w:p>
    <w:p w14:paraId="03796640" w14:textId="77777777" w:rsidR="00DB427A" w:rsidRPr="00977534" w:rsidRDefault="00DB427A" w:rsidP="00DB427A">
      <w:r w:rsidRPr="00977534">
        <w:rPr>
          <w:b/>
        </w:rPr>
        <w:t>The Independent Monitoring Mechanism</w:t>
      </w:r>
      <w:r w:rsidRPr="00977534">
        <w:t xml:space="preserve">: The IMM was established in accordance with Article 33 of the UNCRPD, which requires governments to establish an independent mechanism to promote, protect and monitor the implementation of the UNCRPD. The IMM consists of the DPO Coalition, the Office of the Ombudsman and the Human Rights Commission. </w:t>
      </w:r>
    </w:p>
    <w:p w14:paraId="6354616A" w14:textId="77777777" w:rsidR="00DB427A" w:rsidRPr="00977534" w:rsidRDefault="00DB427A" w:rsidP="00DB427A">
      <w:r w:rsidRPr="00977534">
        <w:rPr>
          <w:b/>
        </w:rPr>
        <w:t>Human Rights Commission</w:t>
      </w:r>
      <w:r w:rsidRPr="00977534">
        <w:t xml:space="preserve">: </w:t>
      </w:r>
      <w:r>
        <w:t>I</w:t>
      </w:r>
      <w:r w:rsidRPr="00977534">
        <w:t>n 2017, Paula Tesoriero was appointed as the first dedicated Disability Rights Commissioner under the Human Rights Act 1993 and was reappointed</w:t>
      </w:r>
      <w:r>
        <w:t xml:space="preserve"> in</w:t>
      </w:r>
      <w:r w:rsidRPr="00977534">
        <w:t xml:space="preserve"> 31 July 2020 for five years.</w:t>
      </w:r>
    </w:p>
    <w:p w14:paraId="372A1A3E" w14:textId="210B0990" w:rsidR="00DB427A" w:rsidRPr="00977534" w:rsidRDefault="00DB427A" w:rsidP="00DB427A">
      <w:r w:rsidRPr="00977534">
        <w:rPr>
          <w:b/>
        </w:rPr>
        <w:t>Office of the Ombudsman</w:t>
      </w:r>
      <w:r w:rsidRPr="00977534">
        <w:t xml:space="preserve">: Peter </w:t>
      </w:r>
      <w:proofErr w:type="spellStart"/>
      <w:r w:rsidRPr="00977534">
        <w:t>Boshier</w:t>
      </w:r>
      <w:proofErr w:type="spellEnd"/>
      <w:r w:rsidRPr="00977534">
        <w:t>, Chief Ombudsman.</w:t>
      </w:r>
    </w:p>
    <w:p w14:paraId="653D843A" w14:textId="77777777" w:rsidR="00DB427A" w:rsidRPr="00977534" w:rsidRDefault="00DB427A" w:rsidP="00DB427A">
      <w:r w:rsidRPr="00977534">
        <w:rPr>
          <w:b/>
        </w:rPr>
        <w:t>Office of the Health and Disability Commissioner</w:t>
      </w:r>
      <w:r w:rsidRPr="00977534">
        <w:t>: Kevin Allan, Mental Health Commissioner and Rose Wall, Deputy Commissioner Disability.</w:t>
      </w:r>
    </w:p>
    <w:p w14:paraId="04069EC2" w14:textId="77777777" w:rsidR="00DB427A" w:rsidRPr="00977534" w:rsidRDefault="00DB427A" w:rsidP="00DB427A">
      <w:r w:rsidRPr="00977534">
        <w:rPr>
          <w:b/>
        </w:rPr>
        <w:t>Parliamentary Champions for Accessibility Legislation</w:t>
      </w:r>
      <w:r w:rsidRPr="00977534">
        <w:t xml:space="preserve">: </w:t>
      </w:r>
      <w:r>
        <w:t xml:space="preserve">PCAL </w:t>
      </w:r>
      <w:r w:rsidRPr="00977534">
        <w:t>is a cross-party group of Parliamentarians committed to ensuring New Zealand has accessibility legislation that is fit for purpose.</w:t>
      </w:r>
    </w:p>
    <w:p w14:paraId="0D052B5B" w14:textId="77777777" w:rsidR="00DB427A" w:rsidRPr="00977534" w:rsidRDefault="00DB427A" w:rsidP="00DB427A">
      <w:r w:rsidRPr="00977534">
        <w:rPr>
          <w:b/>
        </w:rPr>
        <w:t>DPO Coalition</w:t>
      </w:r>
      <w:r w:rsidRPr="00977534">
        <w:t xml:space="preserve">: Article 4(3) of the UNCRPD promotes active involvement by government agencies </w:t>
      </w:r>
      <w:r>
        <w:t>with</w:t>
      </w:r>
      <w:r w:rsidRPr="00977534">
        <w:t xml:space="preserve"> representative </w:t>
      </w:r>
      <w:proofErr w:type="spellStart"/>
      <w:r w:rsidRPr="00977534">
        <w:t>organisations</w:t>
      </w:r>
      <w:proofErr w:type="spellEnd"/>
      <w:r w:rsidRPr="00977534">
        <w:t xml:space="preserve"> of disabled people which are governed by disabled people. </w:t>
      </w:r>
      <w:r>
        <w:t>These are</w:t>
      </w:r>
      <w:r w:rsidRPr="00AD3472">
        <w:t xml:space="preserve"> the Association of Blind Citizens New Zealand, Balance Aotearoa, Deaf Aotearoa, Disabled Persons Assembly NZ, </w:t>
      </w:r>
      <w:proofErr w:type="spellStart"/>
      <w:r w:rsidRPr="00AD3472">
        <w:t>Kāpo</w:t>
      </w:r>
      <w:proofErr w:type="spellEnd"/>
      <w:r w:rsidRPr="00AD3472">
        <w:t xml:space="preserve"> Māori Aotearoa, Muscular Dystrophy Association on New Zealand Inc and People First New Zealand Ngā </w:t>
      </w:r>
      <w:proofErr w:type="spellStart"/>
      <w:r w:rsidRPr="00AD3472">
        <w:t>Tāngata</w:t>
      </w:r>
      <w:proofErr w:type="spellEnd"/>
      <w:r w:rsidRPr="00AD3472">
        <w:t xml:space="preserve"> </w:t>
      </w:r>
      <w:proofErr w:type="spellStart"/>
      <w:r w:rsidRPr="00AD3472">
        <w:t>Tuatahi</w:t>
      </w:r>
      <w:proofErr w:type="spellEnd"/>
      <w:r>
        <w:t>.</w:t>
      </w:r>
      <w:r w:rsidRPr="00AD3472">
        <w:t xml:space="preserve"> </w:t>
      </w:r>
      <w:r>
        <w:t>The DPO Coalition is a key point of contact.</w:t>
      </w:r>
    </w:p>
    <w:p w14:paraId="1A5D025A" w14:textId="77777777" w:rsidR="00DB427A" w:rsidRPr="00977534" w:rsidRDefault="00DB427A" w:rsidP="00DB427A">
      <w:r w:rsidRPr="00977534">
        <w:rPr>
          <w:b/>
        </w:rPr>
        <w:lastRenderedPageBreak/>
        <w:t xml:space="preserve">Key disability sector </w:t>
      </w:r>
      <w:proofErr w:type="spellStart"/>
      <w:r w:rsidRPr="00977534">
        <w:rPr>
          <w:b/>
        </w:rPr>
        <w:t>organisations</w:t>
      </w:r>
      <w:proofErr w:type="spellEnd"/>
      <w:r w:rsidRPr="00977534">
        <w:t>: Access Alliance, Arts Access Aotearoa, Auckland Disability Law, Autism New Zealand, Barrier Free Trust, Be.</w:t>
      </w:r>
      <w:r>
        <w:t xml:space="preserve"> </w:t>
      </w:r>
      <w:r w:rsidRPr="00977534">
        <w:t xml:space="preserve">Institute, Blind and Low Vision NZ, CCS Disability Action, Christchurch Earthquake Disability Leadership Group, Complex Care Group, IHC Advocacy, </w:t>
      </w:r>
      <w:proofErr w:type="spellStart"/>
      <w:proofErr w:type="gramStart"/>
      <w:r w:rsidRPr="00977534">
        <w:t>i.Lead</w:t>
      </w:r>
      <w:proofErr w:type="spellEnd"/>
      <w:proofErr w:type="gramEnd"/>
      <w:r w:rsidRPr="00977534">
        <w:t xml:space="preserve"> Committee, Inclusive NZ, Hearing New Zealand, </w:t>
      </w:r>
      <w:proofErr w:type="spellStart"/>
      <w:r w:rsidRPr="00977534">
        <w:t>Lifemark</w:t>
      </w:r>
      <w:proofErr w:type="spellEnd"/>
      <w:r w:rsidRPr="00977534">
        <w:t>, National Foundation for the Deaf, NZ Disability Support Network, Yes Disability Resource Centre</w:t>
      </w:r>
      <w:r>
        <w:t>.</w:t>
      </w:r>
      <w:r w:rsidRPr="00977534">
        <w:t xml:space="preserve"> Engagement with the many other service providers and advocacy groups can be considered on a case-by-case basis.</w:t>
      </w:r>
    </w:p>
    <w:p w14:paraId="7D2FE453" w14:textId="77777777" w:rsidR="00DB427A" w:rsidRPr="00977534" w:rsidRDefault="00DB427A" w:rsidP="00DB427A">
      <w:r w:rsidRPr="00977534">
        <w:rPr>
          <w:b/>
        </w:rPr>
        <w:t>Transformation of the disability support system</w:t>
      </w:r>
      <w:r w:rsidRPr="00977534">
        <w:t xml:space="preserve">: </w:t>
      </w:r>
      <w:r>
        <w:t xml:space="preserve">This is led by the </w:t>
      </w:r>
      <w:r w:rsidRPr="00977534">
        <w:t>National Co-design Group</w:t>
      </w:r>
      <w:r>
        <w:t xml:space="preserve"> within the Ministry of Health</w:t>
      </w:r>
      <w:r w:rsidRPr="00977534">
        <w:t>, the National Enabling Good Lives Leadership Group, and the Mid</w:t>
      </w:r>
      <w:r>
        <w:t>-</w:t>
      </w:r>
      <w:r w:rsidRPr="00977534">
        <w:t>Central Leadership Group.</w:t>
      </w:r>
    </w:p>
    <w:p w14:paraId="315735BF" w14:textId="77777777" w:rsidR="00DB427A" w:rsidRDefault="00DB427A" w:rsidP="00DB427A">
      <w:pPr>
        <w:spacing w:after="0" w:line="240" w:lineRule="auto"/>
        <w:rPr>
          <w:rFonts w:eastAsia="Times New Roman"/>
        </w:rPr>
      </w:pPr>
      <w:r w:rsidRPr="00977534">
        <w:rPr>
          <w:b/>
        </w:rPr>
        <w:t>NZSL Board</w:t>
      </w:r>
      <w:r w:rsidRPr="00977534">
        <w:t xml:space="preserve"> (see Appendix 2)</w:t>
      </w:r>
      <w:bookmarkStart w:id="65" w:name="_GoBack"/>
      <w:bookmarkEnd w:id="65"/>
      <w:r>
        <w:rPr>
          <w:rFonts w:ascii="Arial" w:hAnsi="Arial"/>
          <w:sz w:val="24"/>
          <w:szCs w:val="24"/>
        </w:rPr>
        <w:br w:type="page"/>
      </w:r>
    </w:p>
    <w:p w14:paraId="79B5A1F2" w14:textId="77777777" w:rsidR="00DB427A" w:rsidRDefault="00DB427A" w:rsidP="00DB427A">
      <w:pPr>
        <w:rPr>
          <w:lang w:val="mi-NZ"/>
        </w:rPr>
      </w:pPr>
    </w:p>
    <w:p w14:paraId="122891FE" w14:textId="77777777" w:rsidR="00DB427A" w:rsidRPr="00835411" w:rsidRDefault="00DB427A" w:rsidP="00DB427A">
      <w:pPr>
        <w:rPr>
          <w:lang w:val="mi-NZ"/>
        </w:rPr>
      </w:pPr>
      <w:r>
        <w:rPr>
          <w:noProof/>
          <w:lang w:val="en-NZ"/>
        </w:rPr>
        <w:drawing>
          <wp:anchor distT="0" distB="0" distL="114300" distR="114300" simplePos="0" relativeHeight="251674624" behindDoc="1" locked="0" layoutInCell="1" allowOverlap="1" wp14:anchorId="11C9D2E6" wp14:editId="5063EB2E">
            <wp:simplePos x="0" y="0"/>
            <wp:positionH relativeFrom="column">
              <wp:posOffset>-901671</wp:posOffset>
            </wp:positionH>
            <wp:positionV relativeFrom="paragraph">
              <wp:posOffset>1892300</wp:posOffset>
            </wp:positionV>
            <wp:extent cx="7527813" cy="7035800"/>
            <wp:effectExtent l="0" t="0" r="381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M_INDD template_back pag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27813" cy="7035800"/>
                    </a:xfrm>
                    <a:prstGeom prst="rect">
                      <a:avLst/>
                    </a:prstGeom>
                  </pic:spPr>
                </pic:pic>
              </a:graphicData>
            </a:graphic>
            <wp14:sizeRelH relativeFrom="page">
              <wp14:pctWidth>0</wp14:pctWidth>
            </wp14:sizeRelH>
            <wp14:sizeRelV relativeFrom="page">
              <wp14:pctHeight>0</wp14:pctHeight>
            </wp14:sizeRelV>
          </wp:anchor>
        </w:drawing>
      </w:r>
    </w:p>
    <w:p w14:paraId="2B7908B5" w14:textId="1E353BB5" w:rsidR="0007592D" w:rsidRPr="00DB427A" w:rsidRDefault="0007592D" w:rsidP="00DB427A"/>
    <w:sectPr w:rsidR="0007592D" w:rsidRPr="00DB427A">
      <w:headerReference w:type="even" r:id="rId20"/>
      <w:headerReference w:type="default" r:id="rId21"/>
      <w:footerReference w:type="even"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68CCC" w14:textId="77777777" w:rsidR="00E5040F" w:rsidRDefault="00E5040F" w:rsidP="0023768C">
      <w:pPr>
        <w:spacing w:after="0" w:line="240" w:lineRule="auto"/>
      </w:pPr>
      <w:r>
        <w:separator/>
      </w:r>
    </w:p>
  </w:endnote>
  <w:endnote w:type="continuationSeparator" w:id="0">
    <w:p w14:paraId="4A9E9507" w14:textId="77777777" w:rsidR="00E5040F" w:rsidRDefault="00E5040F" w:rsidP="00237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Light">
    <w:altName w:val="Calibri"/>
    <w:panose1 w:val="00000000000000000000"/>
    <w:charset w:val="4D"/>
    <w:family w:val="auto"/>
    <w:notTrueType/>
    <w:pitch w:val="variable"/>
    <w:sig w:usb0="A10000FF" w:usb1="5001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C3B4" w14:textId="77777777" w:rsidR="00E5040F" w:rsidRDefault="00E5040F" w:rsidP="002B0A84">
    <w:pPr>
      <w:pStyle w:val="Footer"/>
      <w:ind w:left="-426"/>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245614"/>
      <w:docPartObj>
        <w:docPartGallery w:val="Page Numbers (Bottom of Page)"/>
        <w:docPartUnique/>
      </w:docPartObj>
    </w:sdtPr>
    <w:sdtEndPr>
      <w:rPr>
        <w:noProof/>
      </w:rPr>
    </w:sdtEndPr>
    <w:sdtContent>
      <w:p w14:paraId="5DFD82D8" w14:textId="77777777" w:rsidR="00E5040F" w:rsidRDefault="00E5040F">
        <w:pPr>
          <w:pStyle w:val="Footer"/>
          <w:jc w:val="right"/>
        </w:pPr>
        <w:r>
          <w:fldChar w:fldCharType="begin"/>
        </w:r>
        <w:r>
          <w:instrText xml:space="preserve"> PAGE   \* MERGEFORMAT </w:instrText>
        </w:r>
        <w:r>
          <w:fldChar w:fldCharType="separate"/>
        </w:r>
        <w:r>
          <w:rPr>
            <w:noProof/>
          </w:rPr>
          <w:t>5</w:t>
        </w:r>
        <w:r>
          <w:fldChar w:fldCharType="end"/>
        </w:r>
      </w:p>
    </w:sdtContent>
  </w:sdt>
  <w:p w14:paraId="61917D52" w14:textId="77777777" w:rsidR="00E5040F" w:rsidRDefault="00E50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E323" w14:textId="77777777" w:rsidR="00E5040F" w:rsidRDefault="00E5040F" w:rsidP="0090620A">
    <w:pPr>
      <w:pStyle w:val="Footer"/>
      <w:ind w:left="-426"/>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FFED5" w14:textId="77777777" w:rsidR="00E5040F" w:rsidRDefault="00E5040F" w:rsidP="0023768C">
      <w:pPr>
        <w:spacing w:after="0" w:line="240" w:lineRule="auto"/>
      </w:pPr>
      <w:r>
        <w:separator/>
      </w:r>
    </w:p>
  </w:footnote>
  <w:footnote w:type="continuationSeparator" w:id="0">
    <w:p w14:paraId="3ED9796A" w14:textId="77777777" w:rsidR="00E5040F" w:rsidRDefault="00E5040F" w:rsidP="0023768C">
      <w:pPr>
        <w:spacing w:after="0" w:line="240" w:lineRule="auto"/>
      </w:pPr>
      <w:r>
        <w:continuationSeparator/>
      </w:r>
    </w:p>
  </w:footnote>
  <w:footnote w:id="1">
    <w:p w14:paraId="6B832AD6" w14:textId="77777777" w:rsidR="00E5040F" w:rsidRPr="00DC6E5A" w:rsidRDefault="00E5040F" w:rsidP="00DB427A">
      <w:pPr>
        <w:pStyle w:val="FootnoteText"/>
        <w:rPr>
          <w:lang w:val="en-NZ"/>
        </w:rPr>
      </w:pPr>
      <w:r w:rsidRPr="00D53A11">
        <w:rPr>
          <w:rStyle w:val="FootnoteReference"/>
        </w:rPr>
        <w:footnoteRef/>
      </w:r>
      <w:r w:rsidRPr="00D53A11">
        <w:t xml:space="preserve"> </w:t>
      </w:r>
      <w:r>
        <w:rPr>
          <w:sz w:val="20"/>
          <w:lang w:val="en-NZ"/>
        </w:rPr>
        <w:t>A list of member organisations is provided in Appendix 5</w:t>
      </w:r>
      <w:r w:rsidRPr="007F0DA3">
        <w:rPr>
          <w:sz w:val="20"/>
          <w:lang w:val="en-NZ"/>
        </w:rPr>
        <w:t>.</w:t>
      </w:r>
    </w:p>
  </w:footnote>
  <w:footnote w:id="2">
    <w:p w14:paraId="220F4F4D" w14:textId="77777777" w:rsidR="00E5040F" w:rsidRPr="00DC6E5A" w:rsidRDefault="00E5040F" w:rsidP="00DB427A">
      <w:pPr>
        <w:pStyle w:val="FootnoteText"/>
        <w:rPr>
          <w:lang w:val="en-NZ"/>
        </w:rPr>
      </w:pPr>
      <w:r>
        <w:rPr>
          <w:rStyle w:val="FootnoteReference"/>
        </w:rPr>
        <w:footnoteRef/>
      </w:r>
      <w:r>
        <w:t xml:space="preserve"> </w:t>
      </w:r>
      <w:r w:rsidRPr="007F0DA3">
        <w:rPr>
          <w:sz w:val="20"/>
          <w:lang w:val="en-NZ"/>
        </w:rPr>
        <w:t>The IMM comprises the Office of the Ombudsman, the Human Rights Commission and Disabled Peoples Organisations (DPO) Coalition – see Stakeholder section for more information.</w:t>
      </w:r>
      <w:r>
        <w:rPr>
          <w:lang w:val="en-NZ"/>
        </w:rPr>
        <w:t xml:space="preserve"> </w:t>
      </w:r>
    </w:p>
  </w:footnote>
  <w:footnote w:id="3">
    <w:p w14:paraId="406204AE" w14:textId="77777777" w:rsidR="00E5040F" w:rsidRPr="00290F80" w:rsidRDefault="00E5040F" w:rsidP="00DB427A">
      <w:pPr>
        <w:pStyle w:val="FootnoteText"/>
        <w:rPr>
          <w:rFonts w:ascii="Arial" w:hAnsi="Arial"/>
          <w:lang w:val="mi-NZ"/>
        </w:rPr>
      </w:pPr>
      <w:r>
        <w:rPr>
          <w:rStyle w:val="FootnoteReference"/>
        </w:rPr>
        <w:footnoteRef/>
      </w:r>
      <w:r>
        <w:t xml:space="preserve"> </w:t>
      </w:r>
      <w:r w:rsidRPr="007F0DA3">
        <w:rPr>
          <w:sz w:val="20"/>
          <w:lang w:val="mi-NZ"/>
        </w:rPr>
        <w:t>This is accurate at the time of writing. This number may change as new programmes are added or programmes are combined.</w:t>
      </w:r>
      <w:r>
        <w:rPr>
          <w:rFonts w:ascii="Arial" w:hAnsi="Arial"/>
          <w:lang w:val="mi-NZ"/>
        </w:rPr>
        <w:t xml:space="preserve"> </w:t>
      </w:r>
    </w:p>
  </w:footnote>
  <w:footnote w:id="4">
    <w:p w14:paraId="0B5A5A89" w14:textId="77777777" w:rsidR="00E5040F" w:rsidRPr="009F7158" w:rsidRDefault="00E5040F" w:rsidP="00DB427A">
      <w:pPr>
        <w:pStyle w:val="FootnoteText"/>
        <w:rPr>
          <w:lang w:val="mi-NZ"/>
        </w:rPr>
      </w:pPr>
      <w:r>
        <w:rPr>
          <w:rStyle w:val="FootnoteReference"/>
        </w:rPr>
        <w:footnoteRef/>
      </w:r>
      <w:r>
        <w:t xml:space="preserve"> </w:t>
      </w:r>
      <w:r w:rsidRPr="00D01611">
        <w:t>Health and Disability System Review Report</w:t>
      </w:r>
      <w:r w:rsidRPr="009F7158">
        <w:t xml:space="preserve"> </w:t>
      </w:r>
      <w:hyperlink r:id="rId1" w:history="1">
        <w:r w:rsidRPr="00D97214">
          <w:rPr>
            <w:rStyle w:val="Hyperlink"/>
          </w:rPr>
          <w:t>https://systemreview.health.govt.nz/</w:t>
        </w:r>
      </w:hyperlink>
      <w:r>
        <w:t xml:space="preserve"> </w:t>
      </w:r>
    </w:p>
  </w:footnote>
  <w:footnote w:id="5">
    <w:p w14:paraId="244FECA6" w14:textId="77777777" w:rsidR="00E5040F" w:rsidRPr="00B15151" w:rsidRDefault="00E5040F" w:rsidP="00DB427A">
      <w:pPr>
        <w:pStyle w:val="FootnoteText"/>
        <w:rPr>
          <w:lang w:val="mi-NZ"/>
        </w:rPr>
      </w:pPr>
      <w:r>
        <w:rPr>
          <w:rStyle w:val="FootnoteReference"/>
        </w:rPr>
        <w:footnoteRef/>
      </w:r>
      <w:r>
        <w:t xml:space="preserve"> </w:t>
      </w:r>
      <w:r>
        <w:rPr>
          <w:lang w:val="mi-NZ"/>
        </w:rPr>
        <w:t>As noted in the 2020 IMM Report to the United Nations, and identified as a priority in the Disability Action Plan 2019 to 2023.</w:t>
      </w:r>
    </w:p>
  </w:footnote>
  <w:footnote w:id="6">
    <w:p w14:paraId="29365C98" w14:textId="77777777" w:rsidR="00E5040F" w:rsidRPr="00A54E30" w:rsidRDefault="00E5040F" w:rsidP="00DB427A">
      <w:pPr>
        <w:pStyle w:val="FootnoteText"/>
        <w:rPr>
          <w:lang w:val="mi-NZ"/>
        </w:rPr>
      </w:pPr>
      <w:r>
        <w:rPr>
          <w:rStyle w:val="FootnoteReference"/>
        </w:rPr>
        <w:footnoteRef/>
      </w:r>
      <w:r>
        <w:t xml:space="preserve"> </w:t>
      </w:r>
      <w:r w:rsidRPr="00A54E30">
        <w:rPr>
          <w:sz w:val="20"/>
        </w:rPr>
        <w:t>Data is from the 2020 Household Labour Force Survey except for Victimisation which is from the 2018/19 New Zealand Crime and Victim Survey.</w:t>
      </w:r>
    </w:p>
  </w:footnote>
  <w:footnote w:id="7">
    <w:p w14:paraId="258B0737" w14:textId="77777777" w:rsidR="00E5040F" w:rsidRPr="00CC14F9" w:rsidRDefault="00E5040F" w:rsidP="00DB427A">
      <w:pPr>
        <w:pStyle w:val="FootnoteText"/>
        <w:rPr>
          <w:rFonts w:ascii="Arial" w:hAnsi="Arial"/>
        </w:rPr>
      </w:pPr>
      <w:r w:rsidRPr="00CC14F9">
        <w:rPr>
          <w:rStyle w:val="FootnoteReference"/>
        </w:rPr>
        <w:footnoteRef/>
      </w:r>
      <w:r w:rsidRPr="007F0DA3">
        <w:rPr>
          <w:sz w:val="20"/>
        </w:rPr>
        <w:t>New Zealand Disability Survey 2013 (the next New Zealand Disability Survey will be conducted in 2023).</w:t>
      </w:r>
      <w:r w:rsidRPr="00CC14F9">
        <w:rPr>
          <w:rFonts w:ascii="Arial" w:hAnsi="Arial"/>
        </w:rPr>
        <w:t xml:space="preserve"> </w:t>
      </w:r>
    </w:p>
  </w:footnote>
  <w:footnote w:id="8">
    <w:p w14:paraId="61A09435" w14:textId="77777777" w:rsidR="00E5040F" w:rsidRPr="00CC14F9" w:rsidRDefault="00E5040F" w:rsidP="00DB427A">
      <w:pPr>
        <w:pStyle w:val="FootnoteText"/>
        <w:rPr>
          <w:rFonts w:ascii="Arial" w:hAnsi="Arial"/>
          <w:lang w:val="mi-NZ"/>
        </w:rPr>
      </w:pPr>
      <w:r w:rsidRPr="00CC14F9">
        <w:rPr>
          <w:rStyle w:val="FootnoteReference"/>
        </w:rPr>
        <w:footnoteRef/>
      </w:r>
      <w:r w:rsidRPr="00CC14F9">
        <w:rPr>
          <w:rFonts w:ascii="Arial" w:hAnsi="Arial"/>
        </w:rPr>
        <w:t xml:space="preserve"> </w:t>
      </w:r>
      <w:r w:rsidRPr="007F0DA3">
        <w:rPr>
          <w:sz w:val="20"/>
        </w:rPr>
        <w:t>New Zealand Disability Survey 2013</w:t>
      </w:r>
      <w:r>
        <w:rPr>
          <w:sz w:val="20"/>
        </w:rPr>
        <w:t>.</w:t>
      </w:r>
    </w:p>
  </w:footnote>
  <w:footnote w:id="9">
    <w:p w14:paraId="68629D2D" w14:textId="77777777" w:rsidR="00E5040F" w:rsidRDefault="00E5040F" w:rsidP="00DB427A">
      <w:pPr>
        <w:pStyle w:val="FootnoteText"/>
      </w:pPr>
      <w:r w:rsidRPr="00CC14F9">
        <w:rPr>
          <w:rStyle w:val="FootnoteReference"/>
        </w:rPr>
        <w:footnoteRef/>
      </w:r>
      <w:r w:rsidRPr="00CC14F9">
        <w:rPr>
          <w:rFonts w:ascii="Arial" w:hAnsi="Arial"/>
        </w:rPr>
        <w:t xml:space="preserve"> </w:t>
      </w:r>
      <w:r w:rsidRPr="007F0DA3">
        <w:rPr>
          <w:sz w:val="20"/>
        </w:rPr>
        <w:t>Statistics New Zealand (2015).</w:t>
      </w:r>
      <w:r>
        <w:rPr>
          <w:sz w:val="20"/>
        </w:rPr>
        <w:t xml:space="preserve"> </w:t>
      </w:r>
      <w:r w:rsidRPr="007F0DA3">
        <w:rPr>
          <w:i/>
          <w:sz w:val="20"/>
        </w:rPr>
        <w:t>He Hauā Māori: Findings from the 2013 Disability Survey</w:t>
      </w:r>
      <w:r w:rsidRPr="007F0DA3">
        <w:rPr>
          <w:sz w:val="20"/>
        </w:rPr>
        <w:t>.</w:t>
      </w:r>
    </w:p>
  </w:footnote>
  <w:footnote w:id="10">
    <w:p w14:paraId="2A34C514" w14:textId="77777777" w:rsidR="00E5040F" w:rsidRPr="007A4C9C" w:rsidRDefault="00E5040F" w:rsidP="00DB427A">
      <w:pPr>
        <w:pStyle w:val="FootnoteText"/>
        <w:rPr>
          <w:rFonts w:ascii="Arial" w:hAnsi="Arial"/>
          <w:lang w:val="mi-NZ"/>
        </w:rPr>
      </w:pPr>
      <w:r>
        <w:rPr>
          <w:rStyle w:val="FootnoteReference"/>
        </w:rPr>
        <w:footnoteRef/>
      </w:r>
      <w:r>
        <w:t xml:space="preserve"> </w:t>
      </w:r>
      <w:r w:rsidRPr="007F0DA3">
        <w:rPr>
          <w:sz w:val="20"/>
          <w:lang w:val="mi-NZ"/>
        </w:rPr>
        <w:t xml:space="preserve">This </w:t>
      </w:r>
      <w:r>
        <w:rPr>
          <w:sz w:val="20"/>
          <w:lang w:val="mi-NZ"/>
        </w:rPr>
        <w:t>report is required to be submitted annually on the key activities undertaken</w:t>
      </w:r>
      <w:r w:rsidRPr="007F0DA3">
        <w:rPr>
          <w:sz w:val="20"/>
          <w:lang w:val="mi-NZ"/>
        </w:rPr>
        <w:t xml:space="preserve"> under section 8 of the New Zealand Public Heallth and Disability Act 2000.</w:t>
      </w:r>
      <w:r>
        <w:rPr>
          <w:rFonts w:ascii="Arial" w:hAnsi="Arial"/>
          <w:lang w:val="mi-NZ"/>
        </w:rPr>
        <w:t xml:space="preserve"> </w:t>
      </w:r>
    </w:p>
  </w:footnote>
  <w:footnote w:id="11">
    <w:p w14:paraId="5CB7AD30" w14:textId="77777777" w:rsidR="00E5040F" w:rsidRPr="001838BD" w:rsidRDefault="00E5040F" w:rsidP="00DB427A">
      <w:pPr>
        <w:pStyle w:val="FootnoteText"/>
        <w:rPr>
          <w:rFonts w:ascii="Arial" w:hAnsi="Arial"/>
          <w:lang w:val="mi-NZ"/>
        </w:rPr>
      </w:pPr>
      <w:r>
        <w:rPr>
          <w:rStyle w:val="FootnoteReference"/>
        </w:rPr>
        <w:footnoteRef/>
      </w:r>
      <w:r>
        <w:t xml:space="preserve"> </w:t>
      </w:r>
      <w:r w:rsidRPr="007F0DA3">
        <w:rPr>
          <w:sz w:val="20"/>
          <w:lang w:val="mi-NZ"/>
        </w:rPr>
        <w:t>Member countries vote for the Committee. Sir Robert Martin, from New Zealand, is up for re-election to the Committee. The Ministry of Foreign Affairs and Trade and the Office for Disability Issues have been working on Sir Robert’s re-election campaign.</w:t>
      </w:r>
      <w:r>
        <w:rPr>
          <w:rFonts w:ascii="Arial" w:hAnsi="Arial"/>
          <w:lang w:val="mi-N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D4EB3" w14:textId="01E4D085" w:rsidR="00E5040F" w:rsidRDefault="00E50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10D6A" w14:textId="77777777" w:rsidR="00E5040F" w:rsidRPr="00976EF7" w:rsidRDefault="00E5040F" w:rsidP="002B0A84">
    <w:pPr>
      <w:pStyle w:val="BodyPAGENUMBERleftaligned"/>
      <w:ind w:left="-142" w:right="1"/>
      <w:jc w:val="right"/>
      <w:rPr>
        <w:rFonts w:ascii="Verdana" w:hAnsi="Verdana"/>
      </w:rPr>
    </w:pPr>
    <w:r w:rsidRPr="00976EF7">
      <w:rPr>
        <w:rFonts w:ascii="Verdana" w:hAnsi="Verdana"/>
      </w:rPr>
      <w:t xml:space="preserve">briefing for incoming Minister </w:t>
    </w:r>
    <w:proofErr w:type="gramStart"/>
    <w:r w:rsidRPr="00976EF7">
      <w:rPr>
        <w:rFonts w:ascii="Verdana" w:hAnsi="Verdana"/>
      </w:rPr>
      <w:t>2020  |</w:t>
    </w:r>
    <w:proofErr w:type="gramEnd"/>
    <w:r w:rsidRPr="00976EF7">
      <w:rPr>
        <w:rFonts w:ascii="Verdana" w:hAnsi="Verdana"/>
      </w:rPr>
      <w:t xml:space="preserve">  [Portfolio]</w:t>
    </w:r>
  </w:p>
  <w:p w14:paraId="3DCCA1C8" w14:textId="77777777" w:rsidR="00E5040F" w:rsidRDefault="00E504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1ADEB" w14:textId="77777777" w:rsidR="00E5040F" w:rsidRPr="00976EF7" w:rsidRDefault="00E5040F" w:rsidP="002B0A84">
    <w:pPr>
      <w:pStyle w:val="BodyPAGENUMBERleftaligned"/>
      <w:jc w:val="right"/>
      <w:rPr>
        <w:rFonts w:ascii="Verdana" w:hAnsi="Verdana"/>
      </w:rPr>
    </w:pPr>
    <w:r w:rsidRPr="00976EF7">
      <w:rPr>
        <w:rFonts w:ascii="Verdana" w:hAnsi="Verdana"/>
      </w:rPr>
      <w:t>briefing for incoming Minister 2020 | [Portfolio]</w:t>
    </w:r>
  </w:p>
  <w:p w14:paraId="4EF9D6BA" w14:textId="77777777" w:rsidR="00E5040F" w:rsidRDefault="00E504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3EAB3" w14:textId="77777777" w:rsidR="00E5040F" w:rsidRPr="00976EF7" w:rsidRDefault="00E5040F" w:rsidP="0090620A">
    <w:pPr>
      <w:pStyle w:val="BodyPAGENUMBERleftaligned"/>
      <w:ind w:left="-142" w:right="1"/>
      <w:jc w:val="right"/>
      <w:rPr>
        <w:rFonts w:ascii="Verdana" w:hAnsi="Verdana"/>
      </w:rPr>
    </w:pPr>
    <w:r w:rsidRPr="00976EF7">
      <w:rPr>
        <w:rFonts w:ascii="Verdana" w:hAnsi="Verdana"/>
      </w:rPr>
      <w:t xml:space="preserve">briefing for incoming Minister </w:t>
    </w:r>
    <w:proofErr w:type="gramStart"/>
    <w:r w:rsidRPr="00976EF7">
      <w:rPr>
        <w:rFonts w:ascii="Verdana" w:hAnsi="Verdana"/>
      </w:rPr>
      <w:t>2020  |</w:t>
    </w:r>
    <w:proofErr w:type="gramEnd"/>
    <w:r w:rsidRPr="00976EF7">
      <w:rPr>
        <w:rFonts w:ascii="Verdana" w:hAnsi="Verdana"/>
      </w:rPr>
      <w:t xml:space="preserve">  [Portfolio]</w:t>
    </w:r>
  </w:p>
  <w:p w14:paraId="7F4F941D" w14:textId="77777777" w:rsidR="00E5040F" w:rsidRDefault="00E504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F144A" w14:textId="77777777" w:rsidR="00E5040F" w:rsidRPr="00976EF7" w:rsidRDefault="00E5040F" w:rsidP="0090620A">
    <w:pPr>
      <w:pStyle w:val="BodyPAGENUMBERleftaligned"/>
      <w:jc w:val="right"/>
      <w:rPr>
        <w:rFonts w:ascii="Verdana" w:hAnsi="Verdana"/>
      </w:rPr>
    </w:pPr>
    <w:r w:rsidRPr="00976EF7">
      <w:rPr>
        <w:rFonts w:ascii="Verdana" w:hAnsi="Verdana"/>
      </w:rPr>
      <w:t>briefing for incoming Minister 2020 | [Portfolio]</w:t>
    </w:r>
  </w:p>
  <w:p w14:paraId="02EA1D6C" w14:textId="77777777" w:rsidR="00E5040F" w:rsidRDefault="00E50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3EE4420"/>
    <w:multiLevelType w:val="hybridMultilevel"/>
    <w:tmpl w:val="939085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25590749"/>
    <w:multiLevelType w:val="hybridMultilevel"/>
    <w:tmpl w:val="78863E04"/>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E3C60A4"/>
    <w:multiLevelType w:val="multilevel"/>
    <w:tmpl w:val="8FCE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E018B9"/>
    <w:multiLevelType w:val="hybridMultilevel"/>
    <w:tmpl w:val="7166D6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3572229"/>
    <w:multiLevelType w:val="hybridMultilevel"/>
    <w:tmpl w:val="4DDEB8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DDB1E6F"/>
    <w:multiLevelType w:val="hybridMultilevel"/>
    <w:tmpl w:val="A552A52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55E1F4B"/>
    <w:multiLevelType w:val="hybridMultilevel"/>
    <w:tmpl w:val="A62A2C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7B4342F"/>
    <w:multiLevelType w:val="hybridMultilevel"/>
    <w:tmpl w:val="79F89366"/>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6F7D4E38"/>
    <w:multiLevelType w:val="hybridMultilevel"/>
    <w:tmpl w:val="10806B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3"/>
  </w:num>
  <w:num w:numId="6">
    <w:abstractNumId w:val="11"/>
  </w:num>
  <w:num w:numId="7">
    <w:abstractNumId w:val="10"/>
  </w:num>
  <w:num w:numId="8">
    <w:abstractNumId w:val="8"/>
  </w:num>
  <w:num w:numId="9">
    <w:abstractNumId w:val="9"/>
  </w:num>
  <w:num w:numId="10">
    <w:abstractNumId w:val="6"/>
  </w:num>
  <w:num w:numId="11">
    <w:abstractNumId w:val="13"/>
  </w:num>
  <w:num w:numId="12">
    <w:abstractNumId w:val="11"/>
  </w:num>
  <w:num w:numId="13">
    <w:abstractNumId w:val="11"/>
  </w:num>
  <w:num w:numId="14">
    <w:abstractNumId w:val="11"/>
  </w:num>
  <w:num w:numId="15">
    <w:abstractNumId w:val="7"/>
  </w:num>
  <w:num w:numId="16">
    <w:abstractNumId w:val="12"/>
  </w:num>
  <w:num w:numId="17">
    <w:abstractNumId w:val="11"/>
  </w:num>
  <w:num w:numId="18">
    <w:abstractNumId w:val="11"/>
  </w:num>
  <w:num w:numId="19">
    <w:abstractNumId w:val="11"/>
  </w:num>
  <w:num w:numId="20">
    <w:abstractNumId w:val="11"/>
  </w:num>
  <w:num w:numId="21">
    <w:abstractNumId w:val="11"/>
  </w:num>
  <w:num w:numId="22">
    <w:abstractNumId w:val="14"/>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D1"/>
    <w:rsid w:val="00000B4C"/>
    <w:rsid w:val="0000220A"/>
    <w:rsid w:val="0000487B"/>
    <w:rsid w:val="00005BBE"/>
    <w:rsid w:val="00005DDF"/>
    <w:rsid w:val="00005F02"/>
    <w:rsid w:val="000078A1"/>
    <w:rsid w:val="00007D39"/>
    <w:rsid w:val="00010551"/>
    <w:rsid w:val="000106D0"/>
    <w:rsid w:val="00010BBE"/>
    <w:rsid w:val="0001522A"/>
    <w:rsid w:val="00016B7F"/>
    <w:rsid w:val="00016FDA"/>
    <w:rsid w:val="00023185"/>
    <w:rsid w:val="00024BED"/>
    <w:rsid w:val="00025E61"/>
    <w:rsid w:val="000266E4"/>
    <w:rsid w:val="00031888"/>
    <w:rsid w:val="00033EB9"/>
    <w:rsid w:val="00034336"/>
    <w:rsid w:val="000344BE"/>
    <w:rsid w:val="000348D9"/>
    <w:rsid w:val="00036495"/>
    <w:rsid w:val="00036978"/>
    <w:rsid w:val="00036A38"/>
    <w:rsid w:val="00037333"/>
    <w:rsid w:val="00037CB0"/>
    <w:rsid w:val="00045DC7"/>
    <w:rsid w:val="00047B5F"/>
    <w:rsid w:val="000512AA"/>
    <w:rsid w:val="00055C48"/>
    <w:rsid w:val="00056518"/>
    <w:rsid w:val="00056637"/>
    <w:rsid w:val="000579B0"/>
    <w:rsid w:val="000604EF"/>
    <w:rsid w:val="00060F62"/>
    <w:rsid w:val="0006103D"/>
    <w:rsid w:val="00061652"/>
    <w:rsid w:val="00065302"/>
    <w:rsid w:val="00065E66"/>
    <w:rsid w:val="00066943"/>
    <w:rsid w:val="00070565"/>
    <w:rsid w:val="00071A27"/>
    <w:rsid w:val="00072138"/>
    <w:rsid w:val="0007353A"/>
    <w:rsid w:val="00074115"/>
    <w:rsid w:val="00074997"/>
    <w:rsid w:val="00075160"/>
    <w:rsid w:val="0007592D"/>
    <w:rsid w:val="00081590"/>
    <w:rsid w:val="00087544"/>
    <w:rsid w:val="00087E38"/>
    <w:rsid w:val="00094A57"/>
    <w:rsid w:val="00097B30"/>
    <w:rsid w:val="000A035C"/>
    <w:rsid w:val="000A06BA"/>
    <w:rsid w:val="000A576B"/>
    <w:rsid w:val="000B08B4"/>
    <w:rsid w:val="000B236F"/>
    <w:rsid w:val="000B2C68"/>
    <w:rsid w:val="000B2D3F"/>
    <w:rsid w:val="000B39EE"/>
    <w:rsid w:val="000B7209"/>
    <w:rsid w:val="000B7F19"/>
    <w:rsid w:val="000C136B"/>
    <w:rsid w:val="000C1D68"/>
    <w:rsid w:val="000C5817"/>
    <w:rsid w:val="000C5C06"/>
    <w:rsid w:val="000C601B"/>
    <w:rsid w:val="000D0BC2"/>
    <w:rsid w:val="000D3CF7"/>
    <w:rsid w:val="000D6615"/>
    <w:rsid w:val="000D7FF7"/>
    <w:rsid w:val="000E10E7"/>
    <w:rsid w:val="000E1B5F"/>
    <w:rsid w:val="000E3BB9"/>
    <w:rsid w:val="000E6F35"/>
    <w:rsid w:val="000F19A2"/>
    <w:rsid w:val="000F2D14"/>
    <w:rsid w:val="000F321B"/>
    <w:rsid w:val="000F390B"/>
    <w:rsid w:val="000F3F9F"/>
    <w:rsid w:val="000F674F"/>
    <w:rsid w:val="0010187C"/>
    <w:rsid w:val="0010210D"/>
    <w:rsid w:val="00102830"/>
    <w:rsid w:val="00104111"/>
    <w:rsid w:val="00106AED"/>
    <w:rsid w:val="0010706C"/>
    <w:rsid w:val="0011333D"/>
    <w:rsid w:val="0011688B"/>
    <w:rsid w:val="00123CA0"/>
    <w:rsid w:val="0012568B"/>
    <w:rsid w:val="001272B1"/>
    <w:rsid w:val="0012754D"/>
    <w:rsid w:val="00127CA2"/>
    <w:rsid w:val="00130D2A"/>
    <w:rsid w:val="00131433"/>
    <w:rsid w:val="00131E91"/>
    <w:rsid w:val="001330B2"/>
    <w:rsid w:val="00137987"/>
    <w:rsid w:val="00140AEC"/>
    <w:rsid w:val="00140DB8"/>
    <w:rsid w:val="00142E9E"/>
    <w:rsid w:val="00143122"/>
    <w:rsid w:val="0014409D"/>
    <w:rsid w:val="0014741F"/>
    <w:rsid w:val="0015082E"/>
    <w:rsid w:val="00152BE3"/>
    <w:rsid w:val="0015331F"/>
    <w:rsid w:val="00154C9D"/>
    <w:rsid w:val="0015519A"/>
    <w:rsid w:val="00160123"/>
    <w:rsid w:val="001639CE"/>
    <w:rsid w:val="0016535D"/>
    <w:rsid w:val="001663BF"/>
    <w:rsid w:val="00166471"/>
    <w:rsid w:val="00166716"/>
    <w:rsid w:val="00166C85"/>
    <w:rsid w:val="00167EB1"/>
    <w:rsid w:val="00170B20"/>
    <w:rsid w:val="00174C34"/>
    <w:rsid w:val="00177C97"/>
    <w:rsid w:val="001838BD"/>
    <w:rsid w:val="001859D0"/>
    <w:rsid w:val="001910F7"/>
    <w:rsid w:val="0019124C"/>
    <w:rsid w:val="00192909"/>
    <w:rsid w:val="001929F9"/>
    <w:rsid w:val="00196703"/>
    <w:rsid w:val="001A3EFA"/>
    <w:rsid w:val="001B18F2"/>
    <w:rsid w:val="001B28F7"/>
    <w:rsid w:val="001B4A36"/>
    <w:rsid w:val="001B6CC5"/>
    <w:rsid w:val="001C7985"/>
    <w:rsid w:val="001D155C"/>
    <w:rsid w:val="001D1739"/>
    <w:rsid w:val="001D247F"/>
    <w:rsid w:val="001D3744"/>
    <w:rsid w:val="001D3B3D"/>
    <w:rsid w:val="001E1C9E"/>
    <w:rsid w:val="001E2B16"/>
    <w:rsid w:val="001E3F60"/>
    <w:rsid w:val="001E4FB7"/>
    <w:rsid w:val="001E6603"/>
    <w:rsid w:val="001E6D04"/>
    <w:rsid w:val="001E6F82"/>
    <w:rsid w:val="001E6FA9"/>
    <w:rsid w:val="001E799A"/>
    <w:rsid w:val="001E7B71"/>
    <w:rsid w:val="001F3EE2"/>
    <w:rsid w:val="001F4315"/>
    <w:rsid w:val="001F5837"/>
    <w:rsid w:val="001F77D7"/>
    <w:rsid w:val="00200449"/>
    <w:rsid w:val="00201757"/>
    <w:rsid w:val="00202BA3"/>
    <w:rsid w:val="002069B6"/>
    <w:rsid w:val="00207147"/>
    <w:rsid w:val="00207195"/>
    <w:rsid w:val="00212854"/>
    <w:rsid w:val="00213535"/>
    <w:rsid w:val="00213DA6"/>
    <w:rsid w:val="00214048"/>
    <w:rsid w:val="00216108"/>
    <w:rsid w:val="00216302"/>
    <w:rsid w:val="00222A88"/>
    <w:rsid w:val="00230FFF"/>
    <w:rsid w:val="0023138C"/>
    <w:rsid w:val="002329B6"/>
    <w:rsid w:val="002348C6"/>
    <w:rsid w:val="0023682C"/>
    <w:rsid w:val="00236D2D"/>
    <w:rsid w:val="0023768C"/>
    <w:rsid w:val="00244A2F"/>
    <w:rsid w:val="00245A2B"/>
    <w:rsid w:val="00245DE7"/>
    <w:rsid w:val="0025009D"/>
    <w:rsid w:val="00251251"/>
    <w:rsid w:val="00254CEF"/>
    <w:rsid w:val="00254D0E"/>
    <w:rsid w:val="00256BE4"/>
    <w:rsid w:val="002576C0"/>
    <w:rsid w:val="00257AE3"/>
    <w:rsid w:val="00257D70"/>
    <w:rsid w:val="002615DE"/>
    <w:rsid w:val="00261851"/>
    <w:rsid w:val="002632CC"/>
    <w:rsid w:val="00266A1C"/>
    <w:rsid w:val="00266B75"/>
    <w:rsid w:val="002702D1"/>
    <w:rsid w:val="00271141"/>
    <w:rsid w:val="002727E2"/>
    <w:rsid w:val="00273FFC"/>
    <w:rsid w:val="0027560B"/>
    <w:rsid w:val="0028328D"/>
    <w:rsid w:val="00283CA3"/>
    <w:rsid w:val="002870A6"/>
    <w:rsid w:val="002876F9"/>
    <w:rsid w:val="00287A57"/>
    <w:rsid w:val="00290441"/>
    <w:rsid w:val="00290F80"/>
    <w:rsid w:val="002915D2"/>
    <w:rsid w:val="002927A2"/>
    <w:rsid w:val="00296057"/>
    <w:rsid w:val="0029725F"/>
    <w:rsid w:val="002A1E31"/>
    <w:rsid w:val="002A6CAE"/>
    <w:rsid w:val="002B0A84"/>
    <w:rsid w:val="002B2369"/>
    <w:rsid w:val="002B4DDE"/>
    <w:rsid w:val="002B6C2B"/>
    <w:rsid w:val="002B75F1"/>
    <w:rsid w:val="002C0E3F"/>
    <w:rsid w:val="002C2807"/>
    <w:rsid w:val="002C3AB4"/>
    <w:rsid w:val="002C5DEF"/>
    <w:rsid w:val="002C63C4"/>
    <w:rsid w:val="002C79B3"/>
    <w:rsid w:val="002D0C3D"/>
    <w:rsid w:val="002D1722"/>
    <w:rsid w:val="002D1C62"/>
    <w:rsid w:val="002D2809"/>
    <w:rsid w:val="002D367B"/>
    <w:rsid w:val="002D5254"/>
    <w:rsid w:val="002D5C47"/>
    <w:rsid w:val="002D63C4"/>
    <w:rsid w:val="002D72EA"/>
    <w:rsid w:val="002E27A9"/>
    <w:rsid w:val="002E5914"/>
    <w:rsid w:val="002E6DCF"/>
    <w:rsid w:val="002E7C2E"/>
    <w:rsid w:val="002F216D"/>
    <w:rsid w:val="002F304D"/>
    <w:rsid w:val="002F58B3"/>
    <w:rsid w:val="002F685E"/>
    <w:rsid w:val="002F6A37"/>
    <w:rsid w:val="002F6A53"/>
    <w:rsid w:val="003011AD"/>
    <w:rsid w:val="00302659"/>
    <w:rsid w:val="00302D86"/>
    <w:rsid w:val="00303A55"/>
    <w:rsid w:val="00304016"/>
    <w:rsid w:val="00305AA2"/>
    <w:rsid w:val="00306C28"/>
    <w:rsid w:val="00307A30"/>
    <w:rsid w:val="00307B2E"/>
    <w:rsid w:val="00312E9D"/>
    <w:rsid w:val="003137C5"/>
    <w:rsid w:val="00314B89"/>
    <w:rsid w:val="003156CD"/>
    <w:rsid w:val="003158DE"/>
    <w:rsid w:val="00316A69"/>
    <w:rsid w:val="0032292F"/>
    <w:rsid w:val="003234C1"/>
    <w:rsid w:val="00327143"/>
    <w:rsid w:val="00327CB2"/>
    <w:rsid w:val="00331BF7"/>
    <w:rsid w:val="003357E1"/>
    <w:rsid w:val="00343801"/>
    <w:rsid w:val="00344E14"/>
    <w:rsid w:val="003454E0"/>
    <w:rsid w:val="003474FD"/>
    <w:rsid w:val="0035103F"/>
    <w:rsid w:val="00353861"/>
    <w:rsid w:val="00354EC2"/>
    <w:rsid w:val="003607B1"/>
    <w:rsid w:val="0036178D"/>
    <w:rsid w:val="003637A7"/>
    <w:rsid w:val="00365CDE"/>
    <w:rsid w:val="0037076D"/>
    <w:rsid w:val="00370BF2"/>
    <w:rsid w:val="00373364"/>
    <w:rsid w:val="00374353"/>
    <w:rsid w:val="00375D75"/>
    <w:rsid w:val="00376B74"/>
    <w:rsid w:val="003806BB"/>
    <w:rsid w:val="00380B5E"/>
    <w:rsid w:val="003836A2"/>
    <w:rsid w:val="00386210"/>
    <w:rsid w:val="0038746B"/>
    <w:rsid w:val="003874E0"/>
    <w:rsid w:val="0039118D"/>
    <w:rsid w:val="00392B6A"/>
    <w:rsid w:val="0039380B"/>
    <w:rsid w:val="00393A23"/>
    <w:rsid w:val="0039601D"/>
    <w:rsid w:val="00396710"/>
    <w:rsid w:val="00397184"/>
    <w:rsid w:val="00397220"/>
    <w:rsid w:val="00397254"/>
    <w:rsid w:val="00397688"/>
    <w:rsid w:val="003A0C11"/>
    <w:rsid w:val="003A1E71"/>
    <w:rsid w:val="003A252F"/>
    <w:rsid w:val="003A4A33"/>
    <w:rsid w:val="003A4B67"/>
    <w:rsid w:val="003A717D"/>
    <w:rsid w:val="003B0A38"/>
    <w:rsid w:val="003B1C20"/>
    <w:rsid w:val="003B2F55"/>
    <w:rsid w:val="003B302F"/>
    <w:rsid w:val="003B712C"/>
    <w:rsid w:val="003D4A70"/>
    <w:rsid w:val="003D631E"/>
    <w:rsid w:val="003E2869"/>
    <w:rsid w:val="003E3722"/>
    <w:rsid w:val="003E3B3C"/>
    <w:rsid w:val="003F133B"/>
    <w:rsid w:val="003F2296"/>
    <w:rsid w:val="003F4E44"/>
    <w:rsid w:val="003F4E5D"/>
    <w:rsid w:val="003F711B"/>
    <w:rsid w:val="003F73B0"/>
    <w:rsid w:val="00402101"/>
    <w:rsid w:val="00403088"/>
    <w:rsid w:val="0040327F"/>
    <w:rsid w:val="0040554B"/>
    <w:rsid w:val="00405D83"/>
    <w:rsid w:val="00406FF4"/>
    <w:rsid w:val="00407B1F"/>
    <w:rsid w:val="00407CFB"/>
    <w:rsid w:val="00414EAF"/>
    <w:rsid w:val="00414F1A"/>
    <w:rsid w:val="004150AA"/>
    <w:rsid w:val="0041701B"/>
    <w:rsid w:val="004175FF"/>
    <w:rsid w:val="004218CE"/>
    <w:rsid w:val="004227ED"/>
    <w:rsid w:val="00424B35"/>
    <w:rsid w:val="00425086"/>
    <w:rsid w:val="0042661D"/>
    <w:rsid w:val="0042779E"/>
    <w:rsid w:val="00427DB0"/>
    <w:rsid w:val="004340BC"/>
    <w:rsid w:val="004349D0"/>
    <w:rsid w:val="00440420"/>
    <w:rsid w:val="00440538"/>
    <w:rsid w:val="00440AD8"/>
    <w:rsid w:val="00440F35"/>
    <w:rsid w:val="0044496F"/>
    <w:rsid w:val="00444C4B"/>
    <w:rsid w:val="00445BCE"/>
    <w:rsid w:val="00447DC4"/>
    <w:rsid w:val="0045025E"/>
    <w:rsid w:val="004502A8"/>
    <w:rsid w:val="0045095E"/>
    <w:rsid w:val="00454142"/>
    <w:rsid w:val="00454650"/>
    <w:rsid w:val="00454F25"/>
    <w:rsid w:val="00456B81"/>
    <w:rsid w:val="00456E8F"/>
    <w:rsid w:val="00457F7F"/>
    <w:rsid w:val="00461A59"/>
    <w:rsid w:val="00462459"/>
    <w:rsid w:val="004710B8"/>
    <w:rsid w:val="00471F78"/>
    <w:rsid w:val="00473AC8"/>
    <w:rsid w:val="004761F6"/>
    <w:rsid w:val="004823D6"/>
    <w:rsid w:val="00482CAB"/>
    <w:rsid w:val="00490CB8"/>
    <w:rsid w:val="0049585C"/>
    <w:rsid w:val="004A0DE3"/>
    <w:rsid w:val="004A1691"/>
    <w:rsid w:val="004A1954"/>
    <w:rsid w:val="004A1C10"/>
    <w:rsid w:val="004A2D18"/>
    <w:rsid w:val="004A50A2"/>
    <w:rsid w:val="004A5443"/>
    <w:rsid w:val="004B0367"/>
    <w:rsid w:val="004B1707"/>
    <w:rsid w:val="004B3923"/>
    <w:rsid w:val="004B45CC"/>
    <w:rsid w:val="004B6BF1"/>
    <w:rsid w:val="004C2314"/>
    <w:rsid w:val="004C2648"/>
    <w:rsid w:val="004C29F9"/>
    <w:rsid w:val="004C3936"/>
    <w:rsid w:val="004C4485"/>
    <w:rsid w:val="004D11A4"/>
    <w:rsid w:val="004D1AC6"/>
    <w:rsid w:val="004D24F8"/>
    <w:rsid w:val="004D5778"/>
    <w:rsid w:val="004D7268"/>
    <w:rsid w:val="004E16D2"/>
    <w:rsid w:val="004E2AD6"/>
    <w:rsid w:val="004E6C07"/>
    <w:rsid w:val="004E7AF0"/>
    <w:rsid w:val="004F0BCB"/>
    <w:rsid w:val="004F0C40"/>
    <w:rsid w:val="004F27BB"/>
    <w:rsid w:val="004F2DD7"/>
    <w:rsid w:val="004F757B"/>
    <w:rsid w:val="00504218"/>
    <w:rsid w:val="005043F7"/>
    <w:rsid w:val="005064CA"/>
    <w:rsid w:val="00511E8F"/>
    <w:rsid w:val="00512159"/>
    <w:rsid w:val="0051379A"/>
    <w:rsid w:val="005165A9"/>
    <w:rsid w:val="005178C5"/>
    <w:rsid w:val="00522AD3"/>
    <w:rsid w:val="00523999"/>
    <w:rsid w:val="00523BF5"/>
    <w:rsid w:val="00523C77"/>
    <w:rsid w:val="0052450C"/>
    <w:rsid w:val="00525AE0"/>
    <w:rsid w:val="005260FD"/>
    <w:rsid w:val="0053003B"/>
    <w:rsid w:val="005310CC"/>
    <w:rsid w:val="00533538"/>
    <w:rsid w:val="005337FD"/>
    <w:rsid w:val="00533A22"/>
    <w:rsid w:val="00533E65"/>
    <w:rsid w:val="00533F99"/>
    <w:rsid w:val="00534EB0"/>
    <w:rsid w:val="00535514"/>
    <w:rsid w:val="00535AB5"/>
    <w:rsid w:val="00536BC9"/>
    <w:rsid w:val="00537403"/>
    <w:rsid w:val="0053793D"/>
    <w:rsid w:val="00540E6E"/>
    <w:rsid w:val="005416BC"/>
    <w:rsid w:val="00546D60"/>
    <w:rsid w:val="00547577"/>
    <w:rsid w:val="00547605"/>
    <w:rsid w:val="00550641"/>
    <w:rsid w:val="00550FA7"/>
    <w:rsid w:val="00551288"/>
    <w:rsid w:val="00554DC8"/>
    <w:rsid w:val="0056264C"/>
    <w:rsid w:val="00563CD3"/>
    <w:rsid w:val="00566142"/>
    <w:rsid w:val="0056614F"/>
    <w:rsid w:val="0056681E"/>
    <w:rsid w:val="005705AA"/>
    <w:rsid w:val="00572AA9"/>
    <w:rsid w:val="005753D7"/>
    <w:rsid w:val="00580ED4"/>
    <w:rsid w:val="005815E7"/>
    <w:rsid w:val="00581614"/>
    <w:rsid w:val="00583A84"/>
    <w:rsid w:val="00595906"/>
    <w:rsid w:val="00595EF5"/>
    <w:rsid w:val="005962C0"/>
    <w:rsid w:val="0059790C"/>
    <w:rsid w:val="005A3508"/>
    <w:rsid w:val="005A44EF"/>
    <w:rsid w:val="005A7753"/>
    <w:rsid w:val="005B0747"/>
    <w:rsid w:val="005B11F9"/>
    <w:rsid w:val="005B40B5"/>
    <w:rsid w:val="005B53C3"/>
    <w:rsid w:val="005B5454"/>
    <w:rsid w:val="005C17A6"/>
    <w:rsid w:val="005C217E"/>
    <w:rsid w:val="005C3146"/>
    <w:rsid w:val="005C32C7"/>
    <w:rsid w:val="005C59BC"/>
    <w:rsid w:val="005D109E"/>
    <w:rsid w:val="005D3C9B"/>
    <w:rsid w:val="005D5BA5"/>
    <w:rsid w:val="005E0FEA"/>
    <w:rsid w:val="005E109E"/>
    <w:rsid w:val="005E1A96"/>
    <w:rsid w:val="005E4446"/>
    <w:rsid w:val="005F203A"/>
    <w:rsid w:val="005F3FB4"/>
    <w:rsid w:val="005F4B08"/>
    <w:rsid w:val="005F548E"/>
    <w:rsid w:val="005F79C4"/>
    <w:rsid w:val="006032C9"/>
    <w:rsid w:val="006124F9"/>
    <w:rsid w:val="00614277"/>
    <w:rsid w:val="00620069"/>
    <w:rsid w:val="006226E4"/>
    <w:rsid w:val="00624630"/>
    <w:rsid w:val="00626C81"/>
    <w:rsid w:val="00627C7C"/>
    <w:rsid w:val="006305DF"/>
    <w:rsid w:val="0063100A"/>
    <w:rsid w:val="00631039"/>
    <w:rsid w:val="0063118F"/>
    <w:rsid w:val="00631D73"/>
    <w:rsid w:val="00632D87"/>
    <w:rsid w:val="00632F09"/>
    <w:rsid w:val="0063707A"/>
    <w:rsid w:val="0064288F"/>
    <w:rsid w:val="0064295A"/>
    <w:rsid w:val="0064371E"/>
    <w:rsid w:val="00644B32"/>
    <w:rsid w:val="006458E3"/>
    <w:rsid w:val="006474CC"/>
    <w:rsid w:val="00652CC1"/>
    <w:rsid w:val="00652DE8"/>
    <w:rsid w:val="00654D78"/>
    <w:rsid w:val="006552D2"/>
    <w:rsid w:val="006568B8"/>
    <w:rsid w:val="00660298"/>
    <w:rsid w:val="00660C0F"/>
    <w:rsid w:val="00660F13"/>
    <w:rsid w:val="006619A6"/>
    <w:rsid w:val="00661C07"/>
    <w:rsid w:val="00662981"/>
    <w:rsid w:val="006648B7"/>
    <w:rsid w:val="00666313"/>
    <w:rsid w:val="00666A5B"/>
    <w:rsid w:val="00666E5C"/>
    <w:rsid w:val="00667759"/>
    <w:rsid w:val="00670A7E"/>
    <w:rsid w:val="006733B3"/>
    <w:rsid w:val="00680041"/>
    <w:rsid w:val="00680315"/>
    <w:rsid w:val="00683312"/>
    <w:rsid w:val="006835A5"/>
    <w:rsid w:val="00693E1B"/>
    <w:rsid w:val="00693E5B"/>
    <w:rsid w:val="00694139"/>
    <w:rsid w:val="00695715"/>
    <w:rsid w:val="0069630F"/>
    <w:rsid w:val="006A11ED"/>
    <w:rsid w:val="006A2745"/>
    <w:rsid w:val="006A2E1C"/>
    <w:rsid w:val="006A4E6B"/>
    <w:rsid w:val="006B105E"/>
    <w:rsid w:val="006B19BD"/>
    <w:rsid w:val="006B4557"/>
    <w:rsid w:val="006B5266"/>
    <w:rsid w:val="006B5C0D"/>
    <w:rsid w:val="006C0D58"/>
    <w:rsid w:val="006C42D1"/>
    <w:rsid w:val="006C5F43"/>
    <w:rsid w:val="006C67D7"/>
    <w:rsid w:val="006C7B95"/>
    <w:rsid w:val="006D3CB8"/>
    <w:rsid w:val="006D4392"/>
    <w:rsid w:val="006D61FB"/>
    <w:rsid w:val="006D6E57"/>
    <w:rsid w:val="006D7AFC"/>
    <w:rsid w:val="006E1ACA"/>
    <w:rsid w:val="006E3758"/>
    <w:rsid w:val="006E3AED"/>
    <w:rsid w:val="006E510E"/>
    <w:rsid w:val="006E5DF0"/>
    <w:rsid w:val="006E657C"/>
    <w:rsid w:val="006E6912"/>
    <w:rsid w:val="006E7D37"/>
    <w:rsid w:val="006F29C0"/>
    <w:rsid w:val="006F7B14"/>
    <w:rsid w:val="00700E09"/>
    <w:rsid w:val="00703B87"/>
    <w:rsid w:val="00704BC2"/>
    <w:rsid w:val="0070705D"/>
    <w:rsid w:val="00711AC2"/>
    <w:rsid w:val="00712488"/>
    <w:rsid w:val="007132A9"/>
    <w:rsid w:val="007136E1"/>
    <w:rsid w:val="00715C48"/>
    <w:rsid w:val="007171AA"/>
    <w:rsid w:val="007176D8"/>
    <w:rsid w:val="0072067D"/>
    <w:rsid w:val="00720B21"/>
    <w:rsid w:val="0072404F"/>
    <w:rsid w:val="0072558C"/>
    <w:rsid w:val="00725E21"/>
    <w:rsid w:val="007305ED"/>
    <w:rsid w:val="00730BF7"/>
    <w:rsid w:val="007315D8"/>
    <w:rsid w:val="00733FFC"/>
    <w:rsid w:val="00743491"/>
    <w:rsid w:val="00745423"/>
    <w:rsid w:val="00753F33"/>
    <w:rsid w:val="007550DE"/>
    <w:rsid w:val="00755410"/>
    <w:rsid w:val="007561FA"/>
    <w:rsid w:val="0075693E"/>
    <w:rsid w:val="0075782F"/>
    <w:rsid w:val="0075792A"/>
    <w:rsid w:val="00760186"/>
    <w:rsid w:val="0076088E"/>
    <w:rsid w:val="00762968"/>
    <w:rsid w:val="00765D20"/>
    <w:rsid w:val="00770138"/>
    <w:rsid w:val="00770D8A"/>
    <w:rsid w:val="00774382"/>
    <w:rsid w:val="007802FB"/>
    <w:rsid w:val="00783549"/>
    <w:rsid w:val="00785F50"/>
    <w:rsid w:val="0078796F"/>
    <w:rsid w:val="00787B2D"/>
    <w:rsid w:val="00790C73"/>
    <w:rsid w:val="00791190"/>
    <w:rsid w:val="00793A89"/>
    <w:rsid w:val="00794B30"/>
    <w:rsid w:val="007A0AE8"/>
    <w:rsid w:val="007A1BE5"/>
    <w:rsid w:val="007A4A01"/>
    <w:rsid w:val="007A4C9C"/>
    <w:rsid w:val="007A63E1"/>
    <w:rsid w:val="007B00DA"/>
    <w:rsid w:val="007B201A"/>
    <w:rsid w:val="007B3437"/>
    <w:rsid w:val="007B5815"/>
    <w:rsid w:val="007B64C4"/>
    <w:rsid w:val="007C2143"/>
    <w:rsid w:val="007C3F2B"/>
    <w:rsid w:val="007C42D5"/>
    <w:rsid w:val="007C57BA"/>
    <w:rsid w:val="007C5822"/>
    <w:rsid w:val="007C7511"/>
    <w:rsid w:val="007C7631"/>
    <w:rsid w:val="007D0701"/>
    <w:rsid w:val="007D2B13"/>
    <w:rsid w:val="007D407D"/>
    <w:rsid w:val="007D4C3B"/>
    <w:rsid w:val="007D5366"/>
    <w:rsid w:val="007E0A59"/>
    <w:rsid w:val="007E15D3"/>
    <w:rsid w:val="007E1A82"/>
    <w:rsid w:val="007E33B2"/>
    <w:rsid w:val="007E7083"/>
    <w:rsid w:val="007F0DA3"/>
    <w:rsid w:val="007F3ACD"/>
    <w:rsid w:val="007F5915"/>
    <w:rsid w:val="007F5955"/>
    <w:rsid w:val="0080133F"/>
    <w:rsid w:val="00802C31"/>
    <w:rsid w:val="00802E82"/>
    <w:rsid w:val="008034F7"/>
    <w:rsid w:val="00803781"/>
    <w:rsid w:val="00803B90"/>
    <w:rsid w:val="0080498F"/>
    <w:rsid w:val="00807B79"/>
    <w:rsid w:val="00807DFE"/>
    <w:rsid w:val="00815356"/>
    <w:rsid w:val="00815438"/>
    <w:rsid w:val="00815762"/>
    <w:rsid w:val="00817406"/>
    <w:rsid w:val="0082062D"/>
    <w:rsid w:val="00820712"/>
    <w:rsid w:val="0082263E"/>
    <w:rsid w:val="008264B1"/>
    <w:rsid w:val="00827345"/>
    <w:rsid w:val="00831186"/>
    <w:rsid w:val="00835411"/>
    <w:rsid w:val="00835F2D"/>
    <w:rsid w:val="008366DD"/>
    <w:rsid w:val="00837BF5"/>
    <w:rsid w:val="00841FB5"/>
    <w:rsid w:val="00842168"/>
    <w:rsid w:val="0084425F"/>
    <w:rsid w:val="008477EC"/>
    <w:rsid w:val="00847D05"/>
    <w:rsid w:val="00850B6A"/>
    <w:rsid w:val="00853014"/>
    <w:rsid w:val="0085649B"/>
    <w:rsid w:val="00860654"/>
    <w:rsid w:val="008632B7"/>
    <w:rsid w:val="00864451"/>
    <w:rsid w:val="00864A58"/>
    <w:rsid w:val="00866CD0"/>
    <w:rsid w:val="00877A53"/>
    <w:rsid w:val="00877FAE"/>
    <w:rsid w:val="00881230"/>
    <w:rsid w:val="00883FB2"/>
    <w:rsid w:val="0089651A"/>
    <w:rsid w:val="008A4B7A"/>
    <w:rsid w:val="008A5292"/>
    <w:rsid w:val="008A73AC"/>
    <w:rsid w:val="008A76E5"/>
    <w:rsid w:val="008A790B"/>
    <w:rsid w:val="008B34CE"/>
    <w:rsid w:val="008B5636"/>
    <w:rsid w:val="008B6030"/>
    <w:rsid w:val="008B71CA"/>
    <w:rsid w:val="008C047F"/>
    <w:rsid w:val="008C4564"/>
    <w:rsid w:val="008C4FA7"/>
    <w:rsid w:val="008C5F61"/>
    <w:rsid w:val="008D0653"/>
    <w:rsid w:val="008D11DD"/>
    <w:rsid w:val="008D403A"/>
    <w:rsid w:val="008D49A5"/>
    <w:rsid w:val="008D50E7"/>
    <w:rsid w:val="008D549A"/>
    <w:rsid w:val="008D6287"/>
    <w:rsid w:val="008D634A"/>
    <w:rsid w:val="008D6E1F"/>
    <w:rsid w:val="008D6E46"/>
    <w:rsid w:val="008D6EF0"/>
    <w:rsid w:val="008D7B60"/>
    <w:rsid w:val="008D7BD5"/>
    <w:rsid w:val="008E20A0"/>
    <w:rsid w:val="008E2191"/>
    <w:rsid w:val="008E3E91"/>
    <w:rsid w:val="008E454C"/>
    <w:rsid w:val="008E4EEF"/>
    <w:rsid w:val="008F083E"/>
    <w:rsid w:val="008F235D"/>
    <w:rsid w:val="009018DB"/>
    <w:rsid w:val="00903467"/>
    <w:rsid w:val="0090620A"/>
    <w:rsid w:val="00906B80"/>
    <w:rsid w:val="00906EAA"/>
    <w:rsid w:val="00911073"/>
    <w:rsid w:val="00913AB0"/>
    <w:rsid w:val="00915A16"/>
    <w:rsid w:val="00916873"/>
    <w:rsid w:val="00917E90"/>
    <w:rsid w:val="00920CBE"/>
    <w:rsid w:val="00921D0C"/>
    <w:rsid w:val="00922884"/>
    <w:rsid w:val="009234FB"/>
    <w:rsid w:val="00923CAD"/>
    <w:rsid w:val="00924741"/>
    <w:rsid w:val="0092698D"/>
    <w:rsid w:val="00931E7B"/>
    <w:rsid w:val="009330AC"/>
    <w:rsid w:val="009348D4"/>
    <w:rsid w:val="00937219"/>
    <w:rsid w:val="00937FFC"/>
    <w:rsid w:val="0094001A"/>
    <w:rsid w:val="009408FA"/>
    <w:rsid w:val="00942B25"/>
    <w:rsid w:val="0094315C"/>
    <w:rsid w:val="00951244"/>
    <w:rsid w:val="00953066"/>
    <w:rsid w:val="0095307E"/>
    <w:rsid w:val="00953539"/>
    <w:rsid w:val="00965248"/>
    <w:rsid w:val="009652A9"/>
    <w:rsid w:val="00970DD2"/>
    <w:rsid w:val="00973A2E"/>
    <w:rsid w:val="00974564"/>
    <w:rsid w:val="0097738C"/>
    <w:rsid w:val="00977562"/>
    <w:rsid w:val="009776AD"/>
    <w:rsid w:val="0098410D"/>
    <w:rsid w:val="0098620E"/>
    <w:rsid w:val="00986543"/>
    <w:rsid w:val="00995455"/>
    <w:rsid w:val="00996203"/>
    <w:rsid w:val="009A11D7"/>
    <w:rsid w:val="009A3A2C"/>
    <w:rsid w:val="009A4CDB"/>
    <w:rsid w:val="009A63D0"/>
    <w:rsid w:val="009B12C7"/>
    <w:rsid w:val="009B2083"/>
    <w:rsid w:val="009B241B"/>
    <w:rsid w:val="009B4D63"/>
    <w:rsid w:val="009B507E"/>
    <w:rsid w:val="009B53D5"/>
    <w:rsid w:val="009B748F"/>
    <w:rsid w:val="009C0309"/>
    <w:rsid w:val="009C130D"/>
    <w:rsid w:val="009C29BE"/>
    <w:rsid w:val="009C399C"/>
    <w:rsid w:val="009C3D4D"/>
    <w:rsid w:val="009C487A"/>
    <w:rsid w:val="009C4C9C"/>
    <w:rsid w:val="009D0133"/>
    <w:rsid w:val="009D15F1"/>
    <w:rsid w:val="009D1ABB"/>
    <w:rsid w:val="009D1B64"/>
    <w:rsid w:val="009D2B10"/>
    <w:rsid w:val="009D3499"/>
    <w:rsid w:val="009D49B6"/>
    <w:rsid w:val="009D7C1F"/>
    <w:rsid w:val="009E2772"/>
    <w:rsid w:val="009E3F44"/>
    <w:rsid w:val="009E6597"/>
    <w:rsid w:val="009F292F"/>
    <w:rsid w:val="009F52CD"/>
    <w:rsid w:val="009F67C1"/>
    <w:rsid w:val="009F7132"/>
    <w:rsid w:val="009F7158"/>
    <w:rsid w:val="009F7BD6"/>
    <w:rsid w:val="00A00B5D"/>
    <w:rsid w:val="00A02BE2"/>
    <w:rsid w:val="00A0634A"/>
    <w:rsid w:val="00A1098F"/>
    <w:rsid w:val="00A10B14"/>
    <w:rsid w:val="00A10BD1"/>
    <w:rsid w:val="00A1157F"/>
    <w:rsid w:val="00A11AEF"/>
    <w:rsid w:val="00A12E1A"/>
    <w:rsid w:val="00A2199C"/>
    <w:rsid w:val="00A21EA9"/>
    <w:rsid w:val="00A24B15"/>
    <w:rsid w:val="00A24BB4"/>
    <w:rsid w:val="00A3173E"/>
    <w:rsid w:val="00A317CE"/>
    <w:rsid w:val="00A34CA0"/>
    <w:rsid w:val="00A3524B"/>
    <w:rsid w:val="00A35DDD"/>
    <w:rsid w:val="00A36933"/>
    <w:rsid w:val="00A36C89"/>
    <w:rsid w:val="00A37144"/>
    <w:rsid w:val="00A430E9"/>
    <w:rsid w:val="00A43896"/>
    <w:rsid w:val="00A46136"/>
    <w:rsid w:val="00A5011B"/>
    <w:rsid w:val="00A5381F"/>
    <w:rsid w:val="00A54E30"/>
    <w:rsid w:val="00A61CEB"/>
    <w:rsid w:val="00A6244E"/>
    <w:rsid w:val="00A627B2"/>
    <w:rsid w:val="00A638EA"/>
    <w:rsid w:val="00A67D39"/>
    <w:rsid w:val="00A729B2"/>
    <w:rsid w:val="00A732FD"/>
    <w:rsid w:val="00A73A06"/>
    <w:rsid w:val="00A76504"/>
    <w:rsid w:val="00A806C3"/>
    <w:rsid w:val="00A912F9"/>
    <w:rsid w:val="00A951EC"/>
    <w:rsid w:val="00AA048E"/>
    <w:rsid w:val="00AA06A4"/>
    <w:rsid w:val="00AA11A7"/>
    <w:rsid w:val="00AA5A44"/>
    <w:rsid w:val="00AA5CD6"/>
    <w:rsid w:val="00AB0863"/>
    <w:rsid w:val="00AB0892"/>
    <w:rsid w:val="00AB1A3B"/>
    <w:rsid w:val="00AB20C5"/>
    <w:rsid w:val="00AB3DEE"/>
    <w:rsid w:val="00AB69F8"/>
    <w:rsid w:val="00AB6FC1"/>
    <w:rsid w:val="00AC0E59"/>
    <w:rsid w:val="00AC274B"/>
    <w:rsid w:val="00AC28CD"/>
    <w:rsid w:val="00AC30BA"/>
    <w:rsid w:val="00AC6F04"/>
    <w:rsid w:val="00AD3472"/>
    <w:rsid w:val="00AD3C7A"/>
    <w:rsid w:val="00AD5918"/>
    <w:rsid w:val="00AD73E5"/>
    <w:rsid w:val="00AE3130"/>
    <w:rsid w:val="00AE434E"/>
    <w:rsid w:val="00AE43D6"/>
    <w:rsid w:val="00AF1300"/>
    <w:rsid w:val="00AF1888"/>
    <w:rsid w:val="00AF4143"/>
    <w:rsid w:val="00AF58D4"/>
    <w:rsid w:val="00B03205"/>
    <w:rsid w:val="00B047D9"/>
    <w:rsid w:val="00B04FBD"/>
    <w:rsid w:val="00B07AA9"/>
    <w:rsid w:val="00B111CE"/>
    <w:rsid w:val="00B1291B"/>
    <w:rsid w:val="00B13AB7"/>
    <w:rsid w:val="00B15151"/>
    <w:rsid w:val="00B16010"/>
    <w:rsid w:val="00B173DA"/>
    <w:rsid w:val="00B20482"/>
    <w:rsid w:val="00B21D56"/>
    <w:rsid w:val="00B23291"/>
    <w:rsid w:val="00B2337D"/>
    <w:rsid w:val="00B24E9E"/>
    <w:rsid w:val="00B25501"/>
    <w:rsid w:val="00B273B3"/>
    <w:rsid w:val="00B3023F"/>
    <w:rsid w:val="00B32434"/>
    <w:rsid w:val="00B33DF7"/>
    <w:rsid w:val="00B35790"/>
    <w:rsid w:val="00B36EC2"/>
    <w:rsid w:val="00B375B3"/>
    <w:rsid w:val="00B401AD"/>
    <w:rsid w:val="00B41635"/>
    <w:rsid w:val="00B41779"/>
    <w:rsid w:val="00B4623E"/>
    <w:rsid w:val="00B46773"/>
    <w:rsid w:val="00B5024A"/>
    <w:rsid w:val="00B519CE"/>
    <w:rsid w:val="00B53401"/>
    <w:rsid w:val="00B5357A"/>
    <w:rsid w:val="00B545E1"/>
    <w:rsid w:val="00B54B34"/>
    <w:rsid w:val="00B56285"/>
    <w:rsid w:val="00B563FC"/>
    <w:rsid w:val="00B56559"/>
    <w:rsid w:val="00B56B40"/>
    <w:rsid w:val="00B5724E"/>
    <w:rsid w:val="00B606C2"/>
    <w:rsid w:val="00B637E3"/>
    <w:rsid w:val="00B6513E"/>
    <w:rsid w:val="00B657C0"/>
    <w:rsid w:val="00B76093"/>
    <w:rsid w:val="00B7631C"/>
    <w:rsid w:val="00B77D3A"/>
    <w:rsid w:val="00B82204"/>
    <w:rsid w:val="00B8264C"/>
    <w:rsid w:val="00B90590"/>
    <w:rsid w:val="00B941BF"/>
    <w:rsid w:val="00B941D0"/>
    <w:rsid w:val="00B94868"/>
    <w:rsid w:val="00BA7B75"/>
    <w:rsid w:val="00BB213C"/>
    <w:rsid w:val="00BB24FB"/>
    <w:rsid w:val="00BB25DD"/>
    <w:rsid w:val="00BB2E22"/>
    <w:rsid w:val="00BB40F8"/>
    <w:rsid w:val="00BB7AE8"/>
    <w:rsid w:val="00BC1D5E"/>
    <w:rsid w:val="00BC5960"/>
    <w:rsid w:val="00BD17B2"/>
    <w:rsid w:val="00BD2323"/>
    <w:rsid w:val="00BD38B0"/>
    <w:rsid w:val="00BD5A2E"/>
    <w:rsid w:val="00BD65E9"/>
    <w:rsid w:val="00BD69E0"/>
    <w:rsid w:val="00BE04C1"/>
    <w:rsid w:val="00BE2348"/>
    <w:rsid w:val="00BE2A54"/>
    <w:rsid w:val="00BE56EE"/>
    <w:rsid w:val="00BF0D67"/>
    <w:rsid w:val="00BF16EB"/>
    <w:rsid w:val="00BF2B17"/>
    <w:rsid w:val="00BF371B"/>
    <w:rsid w:val="00BF490B"/>
    <w:rsid w:val="00BF567D"/>
    <w:rsid w:val="00BF632A"/>
    <w:rsid w:val="00BF64B0"/>
    <w:rsid w:val="00BF6ADA"/>
    <w:rsid w:val="00BF7BDC"/>
    <w:rsid w:val="00C01F31"/>
    <w:rsid w:val="00C03CB3"/>
    <w:rsid w:val="00C05C9C"/>
    <w:rsid w:val="00C067EB"/>
    <w:rsid w:val="00C10B98"/>
    <w:rsid w:val="00C112D9"/>
    <w:rsid w:val="00C13CCD"/>
    <w:rsid w:val="00C21182"/>
    <w:rsid w:val="00C22593"/>
    <w:rsid w:val="00C2451E"/>
    <w:rsid w:val="00C265C5"/>
    <w:rsid w:val="00C26BCF"/>
    <w:rsid w:val="00C27DA1"/>
    <w:rsid w:val="00C27DD7"/>
    <w:rsid w:val="00C30DEE"/>
    <w:rsid w:val="00C3133F"/>
    <w:rsid w:val="00C335F7"/>
    <w:rsid w:val="00C3512E"/>
    <w:rsid w:val="00C35652"/>
    <w:rsid w:val="00C36735"/>
    <w:rsid w:val="00C4032F"/>
    <w:rsid w:val="00C41E07"/>
    <w:rsid w:val="00C42809"/>
    <w:rsid w:val="00C42CE7"/>
    <w:rsid w:val="00C4334F"/>
    <w:rsid w:val="00C43EB6"/>
    <w:rsid w:val="00C47DF9"/>
    <w:rsid w:val="00C47E24"/>
    <w:rsid w:val="00C50046"/>
    <w:rsid w:val="00C503A7"/>
    <w:rsid w:val="00C50863"/>
    <w:rsid w:val="00C5215F"/>
    <w:rsid w:val="00C53BB2"/>
    <w:rsid w:val="00C543F0"/>
    <w:rsid w:val="00C56DB8"/>
    <w:rsid w:val="00C6063A"/>
    <w:rsid w:val="00C668AD"/>
    <w:rsid w:val="00C66DA5"/>
    <w:rsid w:val="00C67938"/>
    <w:rsid w:val="00C716ED"/>
    <w:rsid w:val="00C733E1"/>
    <w:rsid w:val="00C75A9A"/>
    <w:rsid w:val="00C76210"/>
    <w:rsid w:val="00C762D9"/>
    <w:rsid w:val="00C774C3"/>
    <w:rsid w:val="00C774E5"/>
    <w:rsid w:val="00C80657"/>
    <w:rsid w:val="00C84A1C"/>
    <w:rsid w:val="00C84EF1"/>
    <w:rsid w:val="00C8654B"/>
    <w:rsid w:val="00C90E8E"/>
    <w:rsid w:val="00C9123C"/>
    <w:rsid w:val="00C91EDB"/>
    <w:rsid w:val="00C92E24"/>
    <w:rsid w:val="00CA0883"/>
    <w:rsid w:val="00CA12DA"/>
    <w:rsid w:val="00CA1B82"/>
    <w:rsid w:val="00CA2D69"/>
    <w:rsid w:val="00CA3C95"/>
    <w:rsid w:val="00CA6400"/>
    <w:rsid w:val="00CA777A"/>
    <w:rsid w:val="00CB19D1"/>
    <w:rsid w:val="00CB4A28"/>
    <w:rsid w:val="00CC06A6"/>
    <w:rsid w:val="00CC131A"/>
    <w:rsid w:val="00CC14F9"/>
    <w:rsid w:val="00CC1EB5"/>
    <w:rsid w:val="00CC3AB2"/>
    <w:rsid w:val="00CC4751"/>
    <w:rsid w:val="00CC4EB7"/>
    <w:rsid w:val="00CC5C5F"/>
    <w:rsid w:val="00CD0F9C"/>
    <w:rsid w:val="00CD2D00"/>
    <w:rsid w:val="00CD49A1"/>
    <w:rsid w:val="00CD66B3"/>
    <w:rsid w:val="00CD671E"/>
    <w:rsid w:val="00CD6B57"/>
    <w:rsid w:val="00CE2773"/>
    <w:rsid w:val="00CE5FF5"/>
    <w:rsid w:val="00CE6795"/>
    <w:rsid w:val="00CF1AF7"/>
    <w:rsid w:val="00CF2B7B"/>
    <w:rsid w:val="00CF2CDC"/>
    <w:rsid w:val="00CF3C19"/>
    <w:rsid w:val="00CF731B"/>
    <w:rsid w:val="00D02F0F"/>
    <w:rsid w:val="00D03266"/>
    <w:rsid w:val="00D04232"/>
    <w:rsid w:val="00D064EF"/>
    <w:rsid w:val="00D073CA"/>
    <w:rsid w:val="00D0791F"/>
    <w:rsid w:val="00D07AB4"/>
    <w:rsid w:val="00D07F14"/>
    <w:rsid w:val="00D11092"/>
    <w:rsid w:val="00D16DCF"/>
    <w:rsid w:val="00D21360"/>
    <w:rsid w:val="00D221AB"/>
    <w:rsid w:val="00D22A65"/>
    <w:rsid w:val="00D30739"/>
    <w:rsid w:val="00D30A75"/>
    <w:rsid w:val="00D318DC"/>
    <w:rsid w:val="00D338C3"/>
    <w:rsid w:val="00D34EA0"/>
    <w:rsid w:val="00D3773C"/>
    <w:rsid w:val="00D442CB"/>
    <w:rsid w:val="00D454FE"/>
    <w:rsid w:val="00D45A1C"/>
    <w:rsid w:val="00D47F4E"/>
    <w:rsid w:val="00D5136B"/>
    <w:rsid w:val="00D53A11"/>
    <w:rsid w:val="00D550CC"/>
    <w:rsid w:val="00D556E6"/>
    <w:rsid w:val="00D55AF9"/>
    <w:rsid w:val="00D56560"/>
    <w:rsid w:val="00D5755E"/>
    <w:rsid w:val="00D60380"/>
    <w:rsid w:val="00D6061F"/>
    <w:rsid w:val="00D60ED9"/>
    <w:rsid w:val="00D621F3"/>
    <w:rsid w:val="00D62F2F"/>
    <w:rsid w:val="00D647AE"/>
    <w:rsid w:val="00D72418"/>
    <w:rsid w:val="00D749EF"/>
    <w:rsid w:val="00D75E38"/>
    <w:rsid w:val="00D81DDF"/>
    <w:rsid w:val="00D826C1"/>
    <w:rsid w:val="00D92677"/>
    <w:rsid w:val="00D926D9"/>
    <w:rsid w:val="00D94D94"/>
    <w:rsid w:val="00D95E40"/>
    <w:rsid w:val="00D969A7"/>
    <w:rsid w:val="00DA02C5"/>
    <w:rsid w:val="00DA0BFC"/>
    <w:rsid w:val="00DA1833"/>
    <w:rsid w:val="00DA3A0C"/>
    <w:rsid w:val="00DA7DDD"/>
    <w:rsid w:val="00DB409D"/>
    <w:rsid w:val="00DB427A"/>
    <w:rsid w:val="00DB4463"/>
    <w:rsid w:val="00DB6673"/>
    <w:rsid w:val="00DB7814"/>
    <w:rsid w:val="00DC04AE"/>
    <w:rsid w:val="00DC255A"/>
    <w:rsid w:val="00DC47DB"/>
    <w:rsid w:val="00DC68B2"/>
    <w:rsid w:val="00DC6E5A"/>
    <w:rsid w:val="00DC77BA"/>
    <w:rsid w:val="00DD21B7"/>
    <w:rsid w:val="00DD26C1"/>
    <w:rsid w:val="00DD2D28"/>
    <w:rsid w:val="00DD320F"/>
    <w:rsid w:val="00DD3662"/>
    <w:rsid w:val="00DD369A"/>
    <w:rsid w:val="00DD4E64"/>
    <w:rsid w:val="00DD5BF3"/>
    <w:rsid w:val="00DD5FBD"/>
    <w:rsid w:val="00DD6907"/>
    <w:rsid w:val="00DD7526"/>
    <w:rsid w:val="00DE0584"/>
    <w:rsid w:val="00DE05BE"/>
    <w:rsid w:val="00DE27AF"/>
    <w:rsid w:val="00DE31F5"/>
    <w:rsid w:val="00DE35A5"/>
    <w:rsid w:val="00DE4D28"/>
    <w:rsid w:val="00DE4FDF"/>
    <w:rsid w:val="00DE5B14"/>
    <w:rsid w:val="00DE5F8A"/>
    <w:rsid w:val="00DE6394"/>
    <w:rsid w:val="00DE7925"/>
    <w:rsid w:val="00DF0ACD"/>
    <w:rsid w:val="00DF1CE1"/>
    <w:rsid w:val="00DF4380"/>
    <w:rsid w:val="00DF66C5"/>
    <w:rsid w:val="00DF7647"/>
    <w:rsid w:val="00E038D7"/>
    <w:rsid w:val="00E05FAA"/>
    <w:rsid w:val="00E06681"/>
    <w:rsid w:val="00E1005A"/>
    <w:rsid w:val="00E11D84"/>
    <w:rsid w:val="00E1421E"/>
    <w:rsid w:val="00E151C6"/>
    <w:rsid w:val="00E166F9"/>
    <w:rsid w:val="00E16B02"/>
    <w:rsid w:val="00E17C10"/>
    <w:rsid w:val="00E21BC6"/>
    <w:rsid w:val="00E22AC4"/>
    <w:rsid w:val="00E23D30"/>
    <w:rsid w:val="00E24BFE"/>
    <w:rsid w:val="00E26B6B"/>
    <w:rsid w:val="00E27186"/>
    <w:rsid w:val="00E40718"/>
    <w:rsid w:val="00E419D4"/>
    <w:rsid w:val="00E449CD"/>
    <w:rsid w:val="00E47BA9"/>
    <w:rsid w:val="00E5040F"/>
    <w:rsid w:val="00E51C45"/>
    <w:rsid w:val="00E52083"/>
    <w:rsid w:val="00E54BCA"/>
    <w:rsid w:val="00E61B5B"/>
    <w:rsid w:val="00E61C57"/>
    <w:rsid w:val="00E61CA3"/>
    <w:rsid w:val="00E63683"/>
    <w:rsid w:val="00E65BF4"/>
    <w:rsid w:val="00E66C6F"/>
    <w:rsid w:val="00E671C3"/>
    <w:rsid w:val="00E70812"/>
    <w:rsid w:val="00E70DDD"/>
    <w:rsid w:val="00E71239"/>
    <w:rsid w:val="00E72A39"/>
    <w:rsid w:val="00E74341"/>
    <w:rsid w:val="00E75D7E"/>
    <w:rsid w:val="00E83CE6"/>
    <w:rsid w:val="00E8559F"/>
    <w:rsid w:val="00E8608B"/>
    <w:rsid w:val="00E86E21"/>
    <w:rsid w:val="00E874D5"/>
    <w:rsid w:val="00E90142"/>
    <w:rsid w:val="00E9269E"/>
    <w:rsid w:val="00E93417"/>
    <w:rsid w:val="00E94050"/>
    <w:rsid w:val="00E94072"/>
    <w:rsid w:val="00E95562"/>
    <w:rsid w:val="00E9661D"/>
    <w:rsid w:val="00EA0D9F"/>
    <w:rsid w:val="00EA5CCD"/>
    <w:rsid w:val="00EA646A"/>
    <w:rsid w:val="00EB0A44"/>
    <w:rsid w:val="00EB1033"/>
    <w:rsid w:val="00EB228F"/>
    <w:rsid w:val="00EC02C4"/>
    <w:rsid w:val="00EC0388"/>
    <w:rsid w:val="00EC14D0"/>
    <w:rsid w:val="00EC23F9"/>
    <w:rsid w:val="00EC3F1E"/>
    <w:rsid w:val="00EC42A8"/>
    <w:rsid w:val="00EC6CCC"/>
    <w:rsid w:val="00ED10EA"/>
    <w:rsid w:val="00EE51BC"/>
    <w:rsid w:val="00EE7AD9"/>
    <w:rsid w:val="00EE7CC7"/>
    <w:rsid w:val="00EF0826"/>
    <w:rsid w:val="00EF50AC"/>
    <w:rsid w:val="00EF7D58"/>
    <w:rsid w:val="00EF7FA7"/>
    <w:rsid w:val="00EF7FC5"/>
    <w:rsid w:val="00F034D9"/>
    <w:rsid w:val="00F066C6"/>
    <w:rsid w:val="00F06EE8"/>
    <w:rsid w:val="00F07349"/>
    <w:rsid w:val="00F078AD"/>
    <w:rsid w:val="00F11319"/>
    <w:rsid w:val="00F113EF"/>
    <w:rsid w:val="00F126F3"/>
    <w:rsid w:val="00F204D4"/>
    <w:rsid w:val="00F204DA"/>
    <w:rsid w:val="00F21228"/>
    <w:rsid w:val="00F21511"/>
    <w:rsid w:val="00F22AE5"/>
    <w:rsid w:val="00F231D0"/>
    <w:rsid w:val="00F250A1"/>
    <w:rsid w:val="00F25333"/>
    <w:rsid w:val="00F27759"/>
    <w:rsid w:val="00F32440"/>
    <w:rsid w:val="00F32F61"/>
    <w:rsid w:val="00F34EBF"/>
    <w:rsid w:val="00F36CC1"/>
    <w:rsid w:val="00F372DC"/>
    <w:rsid w:val="00F37CFA"/>
    <w:rsid w:val="00F37F1E"/>
    <w:rsid w:val="00F37F43"/>
    <w:rsid w:val="00F410CF"/>
    <w:rsid w:val="00F43710"/>
    <w:rsid w:val="00F45B81"/>
    <w:rsid w:val="00F5442E"/>
    <w:rsid w:val="00F54A77"/>
    <w:rsid w:val="00F61ADA"/>
    <w:rsid w:val="00F63201"/>
    <w:rsid w:val="00F63356"/>
    <w:rsid w:val="00F63845"/>
    <w:rsid w:val="00F7158F"/>
    <w:rsid w:val="00F73CC1"/>
    <w:rsid w:val="00F73D7A"/>
    <w:rsid w:val="00F76C14"/>
    <w:rsid w:val="00F805C1"/>
    <w:rsid w:val="00F80A79"/>
    <w:rsid w:val="00F829C0"/>
    <w:rsid w:val="00F829F6"/>
    <w:rsid w:val="00F84178"/>
    <w:rsid w:val="00F84CCE"/>
    <w:rsid w:val="00F84FB6"/>
    <w:rsid w:val="00F975F1"/>
    <w:rsid w:val="00F978F8"/>
    <w:rsid w:val="00FA0D8B"/>
    <w:rsid w:val="00FA33FC"/>
    <w:rsid w:val="00FA53CA"/>
    <w:rsid w:val="00FA5E72"/>
    <w:rsid w:val="00FB6F0B"/>
    <w:rsid w:val="00FB6FD3"/>
    <w:rsid w:val="00FC03AE"/>
    <w:rsid w:val="00FC62A6"/>
    <w:rsid w:val="00FD6EE3"/>
    <w:rsid w:val="00FD7550"/>
    <w:rsid w:val="00FD76A7"/>
    <w:rsid w:val="00FE05F9"/>
    <w:rsid w:val="00FE146B"/>
    <w:rsid w:val="00FE15A2"/>
    <w:rsid w:val="00FF4314"/>
    <w:rsid w:val="00FF5EEF"/>
    <w:rsid w:val="00FF7B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163D53"/>
  <w15:chartTrackingRefBased/>
  <w15:docId w15:val="{47C73DFA-4A66-4E68-AA37-CAEC5852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49A"/>
    <w:pPr>
      <w:spacing w:after="120" w:line="288" w:lineRule="auto"/>
    </w:pPr>
    <w:rPr>
      <w:rFonts w:ascii="Verdana" w:hAnsi="Verdana" w:cs="Arial"/>
      <w:kern w:val="28"/>
      <w:sz w:val="22"/>
      <w:lang w:val="en-US"/>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Bullet Heading,Bullet Normal,Colorful List - Accent 11,AP Bullet Normal,List Paragraph numbered,List Bullet indent,List Paragraph1,List 1,Other List,Recommendation,List Paragraph11,Bulleted Para,NFP GP Bulleted List,FooterText,numbered,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6B19BD"/>
    <w:pPr>
      <w:spacing w:after="300"/>
      <w:contextualSpacing/>
    </w:pPr>
    <w:rPr>
      <w:rFonts w:ascii="Georgia" w:eastAsiaTheme="majorEastAsia" w:hAnsi="Georgia" w:cs="Times New Roman"/>
      <w:spacing w:val="5"/>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qFormat/>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6"/>
      </w:numPr>
      <w:tabs>
        <w:tab w:val="left" w:pos="454"/>
      </w:tabs>
      <w:suppressAutoHyphens/>
      <w:autoSpaceDE w:val="0"/>
      <w:autoSpaceDN w:val="0"/>
      <w:adjustRightInd w:val="0"/>
      <w:textAlignment w:val="center"/>
    </w:pPr>
    <w:rPr>
      <w:rFonts w:eastAsia="Times New Roman"/>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kern w:val="28"/>
      <w:sz w:val="22"/>
      <w:lang w:val="en-US"/>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rsid w:val="003E3722"/>
    <w:pPr>
      <w:spacing w:after="0" w:line="240" w:lineRule="auto"/>
    </w:pPr>
    <w:rPr>
      <w:sz w:val="18"/>
    </w:rPr>
  </w:style>
  <w:style w:type="character" w:customStyle="1" w:styleId="FootnoteTextChar">
    <w:name w:val="Footnote Text Char"/>
    <w:basedOn w:val="DefaultParagraphFont"/>
    <w:link w:val="FootnoteText"/>
    <w:uiPriority w:val="99"/>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237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68C"/>
    <w:rPr>
      <w:rFonts w:ascii="Verdana" w:hAnsi="Verdana" w:cs="Arial"/>
      <w:szCs w:val="22"/>
      <w:lang w:val="en-GB"/>
    </w:rPr>
  </w:style>
  <w:style w:type="paragraph" w:styleId="CommentSubject">
    <w:name w:val="annotation subject"/>
    <w:basedOn w:val="CommentText"/>
    <w:next w:val="CommentText"/>
    <w:link w:val="CommentSubjectChar"/>
    <w:uiPriority w:val="99"/>
    <w:semiHidden/>
    <w:unhideWhenUsed/>
    <w:rsid w:val="00C80657"/>
    <w:rPr>
      <w:b/>
      <w:bCs/>
    </w:rPr>
  </w:style>
  <w:style w:type="character" w:customStyle="1" w:styleId="CommentSubjectChar">
    <w:name w:val="Comment Subject Char"/>
    <w:basedOn w:val="CommentTextChar"/>
    <w:link w:val="CommentSubject"/>
    <w:uiPriority w:val="99"/>
    <w:semiHidden/>
    <w:rsid w:val="00C80657"/>
    <w:rPr>
      <w:rFonts w:ascii="Verdana" w:hAnsi="Verdana" w:cs="Arial"/>
      <w:b/>
      <w:bCs/>
      <w:lang w:val="en-GB"/>
    </w:rPr>
  </w:style>
  <w:style w:type="character" w:styleId="FootnoteReference">
    <w:name w:val="footnote reference"/>
    <w:basedOn w:val="FootnoteTextChar"/>
    <w:uiPriority w:val="99"/>
    <w:rsid w:val="004175FF"/>
    <w:rPr>
      <w:rFonts w:ascii="Arial" w:hAnsi="Arial" w:cs="Arial"/>
      <w:sz w:val="18"/>
      <w:szCs w:val="16"/>
      <w:vertAlign w:val="superscript"/>
      <w:lang w:val="en-US" w:eastAsia="x-none" w:bidi="ar-SA"/>
    </w:rPr>
  </w:style>
  <w:style w:type="character" w:customStyle="1" w:styleId="ListParagraphChar">
    <w:name w:val="List Paragraph Char"/>
    <w:aliases w:val="Bullet Heading Char,Bullet Normal Char,Colorful List - Accent 11 Char,AP Bullet Normal Char,List Paragraph numbered Char,List Bullet indent Char,List Paragraph1 Char,List 1 Char,Other List Char,Recommendation Char,Bulleted Para Char"/>
    <w:basedOn w:val="DefaultParagraphFont"/>
    <w:link w:val="ListParagraph"/>
    <w:uiPriority w:val="34"/>
    <w:qFormat/>
    <w:locked/>
    <w:rsid w:val="00850B6A"/>
    <w:rPr>
      <w:rFonts w:ascii="Verdana" w:hAnsi="Verdana" w:cs="Arial"/>
      <w:szCs w:val="22"/>
      <w:lang w:val="en-GB"/>
    </w:rPr>
  </w:style>
  <w:style w:type="character" w:styleId="Hyperlink">
    <w:name w:val="Hyperlink"/>
    <w:basedOn w:val="DefaultParagraphFont"/>
    <w:uiPriority w:val="99"/>
    <w:unhideWhenUsed/>
    <w:rsid w:val="00EF0826"/>
    <w:rPr>
      <w:color w:val="0000FF"/>
      <w:u w:val="single"/>
    </w:rPr>
  </w:style>
  <w:style w:type="paragraph" w:customStyle="1" w:styleId="BodyPAGENUMBERleftaligned">
    <w:name w:val="Body | PAGE NUMBER left aligned"/>
    <w:basedOn w:val="Normal"/>
    <w:uiPriority w:val="99"/>
    <w:rsid w:val="0045025E"/>
    <w:pPr>
      <w:tabs>
        <w:tab w:val="right" w:leader="dot" w:pos="1180"/>
      </w:tabs>
      <w:suppressAutoHyphens/>
      <w:autoSpaceDE w:val="0"/>
      <w:autoSpaceDN w:val="0"/>
      <w:adjustRightInd w:val="0"/>
      <w:spacing w:before="57" w:after="113"/>
      <w:textAlignment w:val="center"/>
    </w:pPr>
    <w:rPr>
      <w:rFonts w:ascii="National Book" w:hAnsi="National Book" w:cs="National Book"/>
      <w:caps/>
      <w:color w:val="000000"/>
      <w:sz w:val="16"/>
      <w:szCs w:val="16"/>
    </w:rPr>
  </w:style>
  <w:style w:type="paragraph" w:customStyle="1" w:styleId="Bodyintroduction">
    <w:name w:val="Body | introduction"/>
    <w:basedOn w:val="Normal"/>
    <w:uiPriority w:val="99"/>
    <w:rsid w:val="0045025E"/>
    <w:pPr>
      <w:tabs>
        <w:tab w:val="right" w:leader="dot" w:pos="1180"/>
      </w:tabs>
      <w:suppressAutoHyphens/>
      <w:autoSpaceDE w:val="0"/>
      <w:autoSpaceDN w:val="0"/>
      <w:adjustRightInd w:val="0"/>
      <w:spacing w:before="170" w:after="170" w:line="360" w:lineRule="atLeast"/>
      <w:textAlignment w:val="center"/>
    </w:pPr>
    <w:rPr>
      <w:rFonts w:ascii="National Light" w:hAnsi="National Light" w:cs="National Light"/>
      <w:color w:val="000089"/>
      <w:sz w:val="32"/>
      <w:szCs w:val="32"/>
    </w:rPr>
  </w:style>
  <w:style w:type="paragraph" w:customStyle="1" w:styleId="BIGnumbers">
    <w:name w:val="BIG | numbers"/>
    <w:basedOn w:val="Heading3"/>
    <w:uiPriority w:val="99"/>
    <w:rsid w:val="0045025E"/>
    <w:pPr>
      <w:tabs>
        <w:tab w:val="center" w:leader="dot" w:pos="560"/>
      </w:tabs>
      <w:suppressAutoHyphens/>
      <w:autoSpaceDE w:val="0"/>
      <w:autoSpaceDN w:val="0"/>
      <w:adjustRightInd w:val="0"/>
      <w:spacing w:before="227" w:after="85" w:line="320" w:lineRule="atLeast"/>
      <w:jc w:val="center"/>
      <w:textAlignment w:val="center"/>
      <w:outlineLvl w:val="9"/>
    </w:pPr>
    <w:rPr>
      <w:rFonts w:ascii="National Semibold" w:hAnsi="National Semibold" w:cs="National Semibold"/>
      <w:b w:val="0"/>
      <w:color w:val="000089"/>
      <w:sz w:val="40"/>
      <w:szCs w:val="40"/>
    </w:rPr>
  </w:style>
  <w:style w:type="paragraph" w:customStyle="1" w:styleId="Graphicnumber">
    <w:name w:val="Graphic number"/>
    <w:basedOn w:val="BIGnumbers"/>
    <w:qFormat/>
    <w:rsid w:val="0045025E"/>
    <w:pPr>
      <w:spacing w:before="60" w:after="0" w:line="240" w:lineRule="auto"/>
    </w:pPr>
    <w:rPr>
      <w:rFonts w:ascii="Verdana" w:hAnsi="Verdana"/>
      <w:b/>
    </w:rPr>
  </w:style>
  <w:style w:type="paragraph" w:customStyle="1" w:styleId="Graphicdetail">
    <w:name w:val="Graphic detail"/>
    <w:basedOn w:val="Normal"/>
    <w:qFormat/>
    <w:rsid w:val="0045025E"/>
    <w:pPr>
      <w:tabs>
        <w:tab w:val="right" w:leader="dot" w:pos="1180"/>
      </w:tabs>
      <w:suppressAutoHyphens/>
      <w:autoSpaceDE w:val="0"/>
      <w:autoSpaceDN w:val="0"/>
      <w:adjustRightInd w:val="0"/>
      <w:spacing w:after="60" w:line="240" w:lineRule="auto"/>
      <w:jc w:val="center"/>
      <w:textAlignment w:val="center"/>
    </w:pPr>
    <w:rPr>
      <w:rFonts w:cs="National Light"/>
      <w:color w:val="000089"/>
    </w:rPr>
  </w:style>
  <w:style w:type="paragraph" w:styleId="Caption">
    <w:name w:val="caption"/>
    <w:basedOn w:val="Normal"/>
    <w:next w:val="Normal"/>
    <w:uiPriority w:val="35"/>
    <w:semiHidden/>
    <w:unhideWhenUsed/>
    <w:qFormat/>
    <w:rsid w:val="008D549A"/>
    <w:pPr>
      <w:spacing w:after="200" w:line="240" w:lineRule="auto"/>
    </w:pPr>
    <w:rPr>
      <w:b/>
      <w:bCs/>
      <w:color w:val="4F81BD" w:themeColor="accent1"/>
      <w:sz w:val="18"/>
      <w:szCs w:val="18"/>
    </w:rPr>
  </w:style>
  <w:style w:type="paragraph" w:styleId="TableofFigures">
    <w:name w:val="table of figures"/>
    <w:basedOn w:val="Normal"/>
    <w:next w:val="Normal"/>
    <w:uiPriority w:val="99"/>
    <w:rsid w:val="008D549A"/>
    <w:pPr>
      <w:spacing w:after="0"/>
    </w:pPr>
  </w:style>
  <w:style w:type="paragraph" w:customStyle="1" w:styleId="Bodyintroduction0">
    <w:name w:val="Body introduction"/>
    <w:basedOn w:val="Normal"/>
    <w:qFormat/>
    <w:rsid w:val="008D549A"/>
    <w:pPr>
      <w:spacing w:before="60"/>
    </w:pPr>
    <w:rPr>
      <w:sz w:val="28"/>
    </w:rPr>
  </w:style>
  <w:style w:type="paragraph" w:customStyle="1" w:styleId="Bodyintrotext">
    <w:name w:val="Body intro text"/>
    <w:basedOn w:val="Normal"/>
    <w:qFormat/>
    <w:rsid w:val="008D549A"/>
    <w:pPr>
      <w:spacing w:before="60"/>
    </w:pPr>
    <w:rPr>
      <w:color w:val="121F6B"/>
      <w:sz w:val="26"/>
      <w:szCs w:val="26"/>
      <w:lang w:val="en-NZ"/>
    </w:rPr>
  </w:style>
  <w:style w:type="paragraph" w:customStyle="1" w:styleId="BIGgraphicsexplanation">
    <w:name w:val="BIG  |  graphics explanation"/>
    <w:basedOn w:val="Normal"/>
    <w:uiPriority w:val="99"/>
    <w:rsid w:val="008D549A"/>
    <w:pPr>
      <w:tabs>
        <w:tab w:val="right" w:leader="dot" w:pos="1180"/>
      </w:tabs>
      <w:suppressAutoHyphens/>
      <w:autoSpaceDE w:val="0"/>
      <w:autoSpaceDN w:val="0"/>
      <w:adjustRightInd w:val="0"/>
      <w:spacing w:after="113" w:line="300" w:lineRule="atLeast"/>
      <w:jc w:val="center"/>
      <w:textAlignment w:val="center"/>
    </w:pPr>
    <w:rPr>
      <w:rFonts w:ascii="National Light" w:hAnsi="National Light" w:cs="National Light"/>
      <w:color w:val="000089"/>
      <w:kern w:val="0"/>
      <w:sz w:val="28"/>
      <w:szCs w:val="28"/>
      <w:lang w:val="en-GB"/>
    </w:rPr>
  </w:style>
  <w:style w:type="paragraph" w:customStyle="1" w:styleId="Sectionheadings-infographics">
    <w:name w:val="Section headings - infographics"/>
    <w:basedOn w:val="Heading3"/>
    <w:uiPriority w:val="99"/>
    <w:rsid w:val="008D549A"/>
    <w:pPr>
      <w:tabs>
        <w:tab w:val="center" w:leader="dot" w:pos="560"/>
      </w:tabs>
      <w:suppressAutoHyphens/>
      <w:autoSpaceDE w:val="0"/>
      <w:autoSpaceDN w:val="0"/>
      <w:adjustRightInd w:val="0"/>
      <w:spacing w:before="227" w:after="85" w:line="320" w:lineRule="atLeast"/>
      <w:jc w:val="center"/>
      <w:textAlignment w:val="center"/>
      <w:outlineLvl w:val="9"/>
    </w:pPr>
    <w:rPr>
      <w:rFonts w:ascii="National Semibold" w:hAnsi="National Semibold" w:cs="National Semibold"/>
      <w:b w:val="0"/>
      <w:color w:val="000078"/>
      <w:sz w:val="28"/>
      <w:szCs w:val="28"/>
    </w:rPr>
  </w:style>
  <w:style w:type="character" w:customStyle="1" w:styleId="MYDBlue">
    <w:name w:val="MYD Blue"/>
    <w:basedOn w:val="DefaultParagraphFont"/>
    <w:uiPriority w:val="99"/>
    <w:rsid w:val="008D549A"/>
    <w:rPr>
      <w:color w:val="000078"/>
    </w:rPr>
  </w:style>
  <w:style w:type="paragraph" w:customStyle="1" w:styleId="Bodycentred">
    <w:name w:val="Body | centred"/>
    <w:basedOn w:val="Normal"/>
    <w:uiPriority w:val="99"/>
    <w:rsid w:val="008D549A"/>
    <w:pPr>
      <w:tabs>
        <w:tab w:val="right" w:leader="dot" w:pos="1180"/>
      </w:tabs>
      <w:suppressAutoHyphens/>
      <w:autoSpaceDE w:val="0"/>
      <w:autoSpaceDN w:val="0"/>
      <w:adjustRightInd w:val="0"/>
      <w:spacing w:before="57" w:after="113"/>
      <w:jc w:val="center"/>
      <w:textAlignment w:val="center"/>
    </w:pPr>
    <w:rPr>
      <w:rFonts w:ascii="National Book" w:hAnsi="National Book" w:cs="National Book"/>
      <w:color w:val="000000"/>
      <w:kern w:val="0"/>
      <w:szCs w:val="22"/>
      <w:lang w:val="en-GB"/>
    </w:rPr>
  </w:style>
  <w:style w:type="paragraph" w:customStyle="1" w:styleId="BodyNormal">
    <w:name w:val="Body | Normal"/>
    <w:basedOn w:val="Normal"/>
    <w:uiPriority w:val="99"/>
    <w:rsid w:val="008D549A"/>
    <w:pPr>
      <w:tabs>
        <w:tab w:val="right" w:leader="dot" w:pos="1180"/>
      </w:tabs>
      <w:suppressAutoHyphens/>
      <w:autoSpaceDE w:val="0"/>
      <w:autoSpaceDN w:val="0"/>
      <w:adjustRightInd w:val="0"/>
      <w:spacing w:before="57" w:after="113"/>
      <w:textAlignment w:val="center"/>
    </w:pPr>
    <w:rPr>
      <w:rFonts w:ascii="National Book" w:hAnsi="National Book" w:cs="National Book"/>
      <w:color w:val="000000"/>
      <w:kern w:val="0"/>
      <w:szCs w:val="22"/>
      <w:lang w:val="en-GB"/>
    </w:rPr>
  </w:style>
  <w:style w:type="paragraph" w:customStyle="1" w:styleId="BodyBullet">
    <w:name w:val="Body | Bullet"/>
    <w:basedOn w:val="BodyNormal"/>
    <w:uiPriority w:val="99"/>
    <w:rsid w:val="008D549A"/>
    <w:pPr>
      <w:ind w:left="283" w:hanging="283"/>
    </w:pPr>
  </w:style>
  <w:style w:type="character" w:styleId="UnresolvedMention">
    <w:name w:val="Unresolved Mention"/>
    <w:basedOn w:val="DefaultParagraphFont"/>
    <w:uiPriority w:val="99"/>
    <w:semiHidden/>
    <w:unhideWhenUsed/>
    <w:rsid w:val="009F7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7524">
      <w:bodyDiv w:val="1"/>
      <w:marLeft w:val="0"/>
      <w:marRight w:val="0"/>
      <w:marTop w:val="0"/>
      <w:marBottom w:val="0"/>
      <w:divBdr>
        <w:top w:val="none" w:sz="0" w:space="0" w:color="auto"/>
        <w:left w:val="none" w:sz="0" w:space="0" w:color="auto"/>
        <w:bottom w:val="none" w:sz="0" w:space="0" w:color="auto"/>
        <w:right w:val="none" w:sz="0" w:space="0" w:color="auto"/>
      </w:divBdr>
    </w:div>
    <w:div w:id="104352517">
      <w:bodyDiv w:val="1"/>
      <w:marLeft w:val="0"/>
      <w:marRight w:val="0"/>
      <w:marTop w:val="0"/>
      <w:marBottom w:val="0"/>
      <w:divBdr>
        <w:top w:val="none" w:sz="0" w:space="0" w:color="auto"/>
        <w:left w:val="none" w:sz="0" w:space="0" w:color="auto"/>
        <w:bottom w:val="none" w:sz="0" w:space="0" w:color="auto"/>
        <w:right w:val="none" w:sz="0" w:space="0" w:color="auto"/>
      </w:divBdr>
    </w:div>
    <w:div w:id="294943614">
      <w:bodyDiv w:val="1"/>
      <w:marLeft w:val="0"/>
      <w:marRight w:val="0"/>
      <w:marTop w:val="0"/>
      <w:marBottom w:val="0"/>
      <w:divBdr>
        <w:top w:val="none" w:sz="0" w:space="0" w:color="auto"/>
        <w:left w:val="none" w:sz="0" w:space="0" w:color="auto"/>
        <w:bottom w:val="none" w:sz="0" w:space="0" w:color="auto"/>
        <w:right w:val="none" w:sz="0" w:space="0" w:color="auto"/>
      </w:divBdr>
    </w:div>
    <w:div w:id="297423571">
      <w:bodyDiv w:val="1"/>
      <w:marLeft w:val="0"/>
      <w:marRight w:val="0"/>
      <w:marTop w:val="0"/>
      <w:marBottom w:val="0"/>
      <w:divBdr>
        <w:top w:val="none" w:sz="0" w:space="0" w:color="auto"/>
        <w:left w:val="none" w:sz="0" w:space="0" w:color="auto"/>
        <w:bottom w:val="none" w:sz="0" w:space="0" w:color="auto"/>
        <w:right w:val="none" w:sz="0" w:space="0" w:color="auto"/>
      </w:divBdr>
    </w:div>
    <w:div w:id="592275185">
      <w:bodyDiv w:val="1"/>
      <w:marLeft w:val="0"/>
      <w:marRight w:val="0"/>
      <w:marTop w:val="0"/>
      <w:marBottom w:val="0"/>
      <w:divBdr>
        <w:top w:val="none" w:sz="0" w:space="0" w:color="auto"/>
        <w:left w:val="none" w:sz="0" w:space="0" w:color="auto"/>
        <w:bottom w:val="none" w:sz="0" w:space="0" w:color="auto"/>
        <w:right w:val="none" w:sz="0" w:space="0" w:color="auto"/>
      </w:divBdr>
    </w:div>
    <w:div w:id="653803659">
      <w:bodyDiv w:val="1"/>
      <w:marLeft w:val="0"/>
      <w:marRight w:val="0"/>
      <w:marTop w:val="0"/>
      <w:marBottom w:val="0"/>
      <w:divBdr>
        <w:top w:val="none" w:sz="0" w:space="0" w:color="auto"/>
        <w:left w:val="none" w:sz="0" w:space="0" w:color="auto"/>
        <w:bottom w:val="none" w:sz="0" w:space="0" w:color="auto"/>
        <w:right w:val="none" w:sz="0" w:space="0" w:color="auto"/>
      </w:divBdr>
    </w:div>
    <w:div w:id="727454446">
      <w:bodyDiv w:val="1"/>
      <w:marLeft w:val="0"/>
      <w:marRight w:val="0"/>
      <w:marTop w:val="0"/>
      <w:marBottom w:val="0"/>
      <w:divBdr>
        <w:top w:val="none" w:sz="0" w:space="0" w:color="auto"/>
        <w:left w:val="none" w:sz="0" w:space="0" w:color="auto"/>
        <w:bottom w:val="none" w:sz="0" w:space="0" w:color="auto"/>
        <w:right w:val="none" w:sz="0" w:space="0" w:color="auto"/>
      </w:divBdr>
    </w:div>
    <w:div w:id="992678384">
      <w:bodyDiv w:val="1"/>
      <w:marLeft w:val="0"/>
      <w:marRight w:val="0"/>
      <w:marTop w:val="0"/>
      <w:marBottom w:val="0"/>
      <w:divBdr>
        <w:top w:val="none" w:sz="0" w:space="0" w:color="auto"/>
        <w:left w:val="none" w:sz="0" w:space="0" w:color="auto"/>
        <w:bottom w:val="none" w:sz="0" w:space="0" w:color="auto"/>
        <w:right w:val="none" w:sz="0" w:space="0" w:color="auto"/>
      </w:divBdr>
    </w:div>
    <w:div w:id="1256211594">
      <w:bodyDiv w:val="1"/>
      <w:marLeft w:val="0"/>
      <w:marRight w:val="0"/>
      <w:marTop w:val="0"/>
      <w:marBottom w:val="0"/>
      <w:divBdr>
        <w:top w:val="none" w:sz="0" w:space="0" w:color="auto"/>
        <w:left w:val="none" w:sz="0" w:space="0" w:color="auto"/>
        <w:bottom w:val="none" w:sz="0" w:space="0" w:color="auto"/>
        <w:right w:val="none" w:sz="0" w:space="0" w:color="auto"/>
      </w:divBdr>
    </w:div>
    <w:div w:id="1274479051">
      <w:bodyDiv w:val="1"/>
      <w:marLeft w:val="0"/>
      <w:marRight w:val="0"/>
      <w:marTop w:val="0"/>
      <w:marBottom w:val="0"/>
      <w:divBdr>
        <w:top w:val="none" w:sz="0" w:space="0" w:color="auto"/>
        <w:left w:val="none" w:sz="0" w:space="0" w:color="auto"/>
        <w:bottom w:val="none" w:sz="0" w:space="0" w:color="auto"/>
        <w:right w:val="none" w:sz="0" w:space="0" w:color="auto"/>
      </w:divBdr>
    </w:div>
    <w:div w:id="1396973286">
      <w:bodyDiv w:val="1"/>
      <w:marLeft w:val="0"/>
      <w:marRight w:val="0"/>
      <w:marTop w:val="0"/>
      <w:marBottom w:val="0"/>
      <w:divBdr>
        <w:top w:val="none" w:sz="0" w:space="0" w:color="auto"/>
        <w:left w:val="none" w:sz="0" w:space="0" w:color="auto"/>
        <w:bottom w:val="none" w:sz="0" w:space="0" w:color="auto"/>
        <w:right w:val="none" w:sz="0" w:space="0" w:color="auto"/>
      </w:divBdr>
    </w:div>
    <w:div w:id="1429038195">
      <w:bodyDiv w:val="1"/>
      <w:marLeft w:val="0"/>
      <w:marRight w:val="0"/>
      <w:marTop w:val="0"/>
      <w:marBottom w:val="0"/>
      <w:divBdr>
        <w:top w:val="none" w:sz="0" w:space="0" w:color="auto"/>
        <w:left w:val="none" w:sz="0" w:space="0" w:color="auto"/>
        <w:bottom w:val="none" w:sz="0" w:space="0" w:color="auto"/>
        <w:right w:val="none" w:sz="0" w:space="0" w:color="auto"/>
      </w:divBdr>
    </w:div>
    <w:div w:id="1582368257">
      <w:bodyDiv w:val="1"/>
      <w:marLeft w:val="0"/>
      <w:marRight w:val="0"/>
      <w:marTop w:val="0"/>
      <w:marBottom w:val="0"/>
      <w:divBdr>
        <w:top w:val="none" w:sz="0" w:space="0" w:color="auto"/>
        <w:left w:val="none" w:sz="0" w:space="0" w:color="auto"/>
        <w:bottom w:val="none" w:sz="0" w:space="0" w:color="auto"/>
        <w:right w:val="none" w:sz="0" w:space="0" w:color="auto"/>
      </w:divBdr>
    </w:div>
    <w:div w:id="1736197309">
      <w:bodyDiv w:val="1"/>
      <w:marLeft w:val="0"/>
      <w:marRight w:val="0"/>
      <w:marTop w:val="0"/>
      <w:marBottom w:val="0"/>
      <w:divBdr>
        <w:top w:val="none" w:sz="0" w:space="0" w:color="auto"/>
        <w:left w:val="none" w:sz="0" w:space="0" w:color="auto"/>
        <w:bottom w:val="none" w:sz="0" w:space="0" w:color="auto"/>
        <w:right w:val="none" w:sz="0" w:space="0" w:color="auto"/>
      </w:divBdr>
    </w:div>
    <w:div w:id="1915820720">
      <w:bodyDiv w:val="1"/>
      <w:marLeft w:val="0"/>
      <w:marRight w:val="0"/>
      <w:marTop w:val="0"/>
      <w:marBottom w:val="0"/>
      <w:divBdr>
        <w:top w:val="none" w:sz="0" w:space="0" w:color="auto"/>
        <w:left w:val="none" w:sz="0" w:space="0" w:color="auto"/>
        <w:bottom w:val="none" w:sz="0" w:space="0" w:color="auto"/>
        <w:right w:val="none" w:sz="0" w:space="0" w:color="auto"/>
      </w:divBdr>
    </w:div>
    <w:div w:id="1928464744">
      <w:bodyDiv w:val="1"/>
      <w:marLeft w:val="0"/>
      <w:marRight w:val="0"/>
      <w:marTop w:val="0"/>
      <w:marBottom w:val="0"/>
      <w:divBdr>
        <w:top w:val="none" w:sz="0" w:space="0" w:color="auto"/>
        <w:left w:val="none" w:sz="0" w:space="0" w:color="auto"/>
        <w:bottom w:val="none" w:sz="0" w:space="0" w:color="auto"/>
        <w:right w:val="none" w:sz="0" w:space="0" w:color="auto"/>
      </w:divBdr>
    </w:div>
    <w:div w:id="19719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5.png@01D68FFC.A7AE8010"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systemreview.health.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10C53-2768-469D-9627-6CC410C82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7105</Words>
  <Characters>40500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Mearns</dc:creator>
  <cp:keywords/>
  <dc:description/>
  <cp:lastModifiedBy>Joanna McLeod</cp:lastModifiedBy>
  <cp:revision>2</cp:revision>
  <cp:lastPrinted>2020-09-09T22:29:00Z</cp:lastPrinted>
  <dcterms:created xsi:type="dcterms:W3CDTF">2020-12-11T03:09:00Z</dcterms:created>
  <dcterms:modified xsi:type="dcterms:W3CDTF">2020-12-11T03:09:00Z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A12794555</vt:lpwstr>
  </property>
  <property fmtid="{D5CDD505-2E9C-101B-9397-08002B2CF9AE}" pid="4" name="Objective-Title">
    <vt:lpwstr>2020 10 07  Draft ODI BIM - revised</vt:lpwstr>
  </property>
  <property fmtid="{D5CDD505-2E9C-101B-9397-08002B2CF9AE}" pid="5" name="Objective-Comment">
    <vt:lpwstr/>
  </property>
  <property fmtid="{D5CDD505-2E9C-101B-9397-08002B2CF9AE}" pid="6" name="Objective-CreationStamp">
    <vt:filetime>2020-09-22T19:59:37Z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2020-10-07T18:18:46Z</vt:filetime>
  </property>
  <property fmtid="{D5CDD505-2E9C-101B-9397-08002B2CF9AE}" pid="11" name="Objective-Owner">
    <vt:lpwstr>Ken Bowater</vt:lpwstr>
  </property>
  <property fmtid="{D5CDD505-2E9C-101B-9397-08002B2CF9AE}" pid="12" name="Objective-Path">
    <vt:lpwstr>Global Folder:MSD INFORMATION REPOSITORY:Office &amp; Ministries:Office for Disability Issues:Supporting the Minister, in their advocacy role:Briefing to the Incoming Minister:2020:BIM 2020 Drafts and Information:</vt:lpwstr>
  </property>
  <property fmtid="{D5CDD505-2E9C-101B-9397-08002B2CF9AE}" pid="13" name="Objective-Parent">
    <vt:lpwstr>BIM 2020 Drafts and Information</vt:lpwstr>
  </property>
  <property fmtid="{D5CDD505-2E9C-101B-9397-08002B2CF9AE}" pid="14" name="Objective-State">
    <vt:lpwstr>Being Edited</vt:lpwstr>
  </property>
  <property fmtid="{D5CDD505-2E9C-101B-9397-08002B2CF9AE}" pid="15" name="Objective-Version">
    <vt:lpwstr>5.1</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OM/DI/09/01/20-12139</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